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6D" w:rsidRDefault="006A586D" w:rsidP="006A586D">
      <w:pPr>
        <w:pStyle w:val="FR1"/>
        <w:spacing w:before="0" w:line="240" w:lineRule="auto"/>
        <w:ind w:left="-344" w:right="0"/>
        <w:rPr>
          <w:b/>
          <w:color w:val="0000FF"/>
          <w:sz w:val="40"/>
        </w:rPr>
      </w:pPr>
      <w: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6pt" o:ole="" fillcolor="window">
            <v:imagedata r:id="rId7" o:title=""/>
          </v:shape>
          <o:OLEObject Type="Embed" ProgID="MSPhotoEd.3" ShapeID="_x0000_i1025" DrawAspect="Content" ObjectID="_1500714804" r:id="rId8"/>
        </w:object>
      </w:r>
      <w:r w:rsidRPr="006A586D">
        <w:rPr>
          <w:b/>
          <w:color w:val="0000FF"/>
          <w:sz w:val="40"/>
        </w:rPr>
        <w:t xml:space="preserve"> </w:t>
      </w:r>
    </w:p>
    <w:p w:rsidR="006A586D" w:rsidRDefault="006A586D" w:rsidP="006A586D">
      <w:pPr>
        <w:pStyle w:val="FR1"/>
        <w:spacing w:before="0" w:line="240" w:lineRule="auto"/>
        <w:ind w:left="-344" w:right="0"/>
        <w:rPr>
          <w:b/>
          <w:color w:val="0000FF"/>
          <w:sz w:val="40"/>
        </w:rPr>
      </w:pPr>
      <w:r>
        <w:rPr>
          <w:b/>
          <w:color w:val="0000FF"/>
          <w:sz w:val="40"/>
        </w:rPr>
        <w:t>МІНІСТЕРСТВО ОСВІТИ І НАУКИ УКРАЇНИ</w:t>
      </w:r>
    </w:p>
    <w:p w:rsidR="006A586D" w:rsidRDefault="006A586D" w:rsidP="006A586D">
      <w:pPr>
        <w:pStyle w:val="FR3"/>
        <w:spacing w:before="0" w:line="240" w:lineRule="auto"/>
        <w:ind w:left="0" w:right="-1"/>
        <w:rPr>
          <w:rFonts w:ascii="Times New Roman" w:hAnsi="Times New Roman"/>
          <w:i w:val="0"/>
          <w:color w:val="0000FF"/>
          <w:sz w:val="20"/>
        </w:rPr>
      </w:pPr>
      <w:r>
        <w:rPr>
          <w:rFonts w:ascii="Times New Roman" w:hAnsi="Times New Roman"/>
          <w:i w:val="0"/>
          <w:color w:val="0000FF"/>
          <w:sz w:val="20"/>
        </w:rPr>
        <w:t>пр</w:t>
      </w:r>
      <w:r w:rsidRPr="001F72AB">
        <w:rPr>
          <w:rFonts w:ascii="Times New Roman" w:hAnsi="Times New Roman"/>
          <w:i w:val="0"/>
          <w:color w:val="0000FF"/>
          <w:sz w:val="20"/>
          <w:lang w:val="ru-RU"/>
        </w:rPr>
        <w:t>.</w:t>
      </w:r>
      <w:r>
        <w:rPr>
          <w:rFonts w:ascii="Times New Roman" w:hAnsi="Times New Roman"/>
          <w:i w:val="0"/>
          <w:color w:val="0000FF"/>
          <w:sz w:val="20"/>
        </w:rPr>
        <w:t xml:space="preserve"> Перемоги,</w:t>
      </w:r>
      <w:r>
        <w:rPr>
          <w:rFonts w:ascii="Times New Roman" w:hAnsi="Times New Roman"/>
          <w:b w:val="0"/>
          <w:i w:val="0"/>
          <w:color w:val="0000FF"/>
          <w:sz w:val="20"/>
        </w:rPr>
        <w:t xml:space="preserve"> </w:t>
      </w:r>
      <w:smartTag w:uri="urn:schemas-microsoft-com:office:smarttags" w:element="metricconverter">
        <w:smartTagPr>
          <w:attr w:name="ProductID" w:val="10, м"/>
        </w:smartTagPr>
        <w:r>
          <w:rPr>
            <w:rFonts w:ascii="Times New Roman" w:hAnsi="Times New Roman"/>
            <w:b w:val="0"/>
            <w:i w:val="0"/>
            <w:color w:val="0000FF"/>
            <w:sz w:val="20"/>
          </w:rPr>
          <w:t>10,</w:t>
        </w:r>
        <w:r>
          <w:rPr>
            <w:rFonts w:ascii="Times New Roman" w:hAnsi="Times New Roman"/>
            <w:i w:val="0"/>
            <w:color w:val="0000FF"/>
            <w:sz w:val="20"/>
          </w:rPr>
          <w:t xml:space="preserve"> м</w:t>
        </w:r>
      </w:smartTag>
      <w:r>
        <w:rPr>
          <w:rFonts w:ascii="Times New Roman" w:hAnsi="Times New Roman"/>
          <w:i w:val="0"/>
          <w:color w:val="0000FF"/>
          <w:sz w:val="20"/>
        </w:rPr>
        <w:t>. Київ, 01135,  тел. (044)</w:t>
      </w:r>
      <w:r>
        <w:rPr>
          <w:rFonts w:ascii="Times New Roman" w:hAnsi="Times New Roman"/>
          <w:b w:val="0"/>
          <w:i w:val="0"/>
          <w:color w:val="0000FF"/>
          <w:sz w:val="20"/>
        </w:rPr>
        <w:t xml:space="preserve"> </w:t>
      </w:r>
      <w:r w:rsidRPr="00954838">
        <w:rPr>
          <w:rFonts w:ascii="Times New Roman" w:hAnsi="Times New Roman"/>
          <w:b w:val="0"/>
          <w:i w:val="0"/>
          <w:color w:val="0000FF"/>
          <w:sz w:val="20"/>
        </w:rPr>
        <w:t>481-</w:t>
      </w:r>
      <w:r>
        <w:rPr>
          <w:rFonts w:ascii="Times New Roman" w:hAnsi="Times New Roman"/>
          <w:b w:val="0"/>
          <w:i w:val="0"/>
          <w:color w:val="0000FF"/>
          <w:sz w:val="20"/>
        </w:rPr>
        <w:t xml:space="preserve"> 32 -21,</w:t>
      </w:r>
      <w:r>
        <w:rPr>
          <w:rFonts w:ascii="Times New Roman" w:hAnsi="Times New Roman"/>
          <w:i w:val="0"/>
          <w:color w:val="0000FF"/>
          <w:sz w:val="20"/>
        </w:rPr>
        <w:t xml:space="preserve"> факс (044) 2</w:t>
      </w:r>
      <w:r w:rsidRPr="00954838">
        <w:rPr>
          <w:rFonts w:ascii="Times New Roman" w:hAnsi="Times New Roman"/>
          <w:i w:val="0"/>
          <w:color w:val="0000FF"/>
          <w:sz w:val="20"/>
        </w:rPr>
        <w:t>36</w:t>
      </w:r>
      <w:r>
        <w:rPr>
          <w:rFonts w:ascii="Times New Roman" w:hAnsi="Times New Roman"/>
          <w:i w:val="0"/>
          <w:color w:val="0000FF"/>
          <w:sz w:val="20"/>
        </w:rPr>
        <w:t>-1049</w:t>
      </w:r>
    </w:p>
    <w:p w:rsidR="006A586D" w:rsidRPr="00283B57" w:rsidRDefault="006A586D" w:rsidP="006A586D">
      <w:pPr>
        <w:pStyle w:val="FR3"/>
        <w:spacing w:before="0" w:line="240" w:lineRule="auto"/>
        <w:ind w:left="1260" w:right="-1"/>
        <w:rPr>
          <w:rFonts w:ascii="Times New Roman" w:hAnsi="Times New Roman"/>
          <w:i w:val="0"/>
          <w:color w:val="0000FF"/>
          <w:sz w:val="20"/>
        </w:rPr>
      </w:pPr>
      <w:r w:rsidRPr="00283B57">
        <w:rPr>
          <w:rFonts w:ascii="Times New Roman" w:hAnsi="Times New Roman"/>
          <w:i w:val="0"/>
          <w:color w:val="0000FF"/>
          <w:sz w:val="20"/>
          <w:lang w:val="de-DE"/>
        </w:rPr>
        <w:t>E</w:t>
      </w:r>
      <w:r w:rsidRPr="00954838">
        <w:rPr>
          <w:rFonts w:ascii="Times New Roman" w:hAnsi="Times New Roman"/>
          <w:i w:val="0"/>
          <w:color w:val="0000FF"/>
          <w:sz w:val="20"/>
        </w:rPr>
        <w:t>-</w:t>
      </w:r>
      <w:r w:rsidRPr="00283B57">
        <w:rPr>
          <w:rFonts w:ascii="Times New Roman" w:hAnsi="Times New Roman"/>
          <w:i w:val="0"/>
          <w:color w:val="0000FF"/>
          <w:sz w:val="20"/>
          <w:lang w:val="de-DE"/>
        </w:rPr>
        <w:t>mail</w:t>
      </w:r>
      <w:r w:rsidRPr="00954838">
        <w:rPr>
          <w:rFonts w:ascii="Times New Roman" w:hAnsi="Times New Roman"/>
          <w:i w:val="0"/>
          <w:color w:val="0000FF"/>
          <w:sz w:val="20"/>
        </w:rPr>
        <w:t xml:space="preserve">: </w:t>
      </w:r>
      <w:hyperlink r:id="rId9" w:history="1">
        <w:r w:rsidRPr="00283B57">
          <w:rPr>
            <w:rStyle w:val="a6"/>
            <w:i w:val="0"/>
            <w:sz w:val="20"/>
            <w:lang w:val="de-DE"/>
          </w:rPr>
          <w:t>ministry</w:t>
        </w:r>
        <w:r w:rsidRPr="00954838">
          <w:rPr>
            <w:rStyle w:val="a6"/>
            <w:i w:val="0"/>
            <w:sz w:val="20"/>
          </w:rPr>
          <w:t>@</w:t>
        </w:r>
        <w:r w:rsidRPr="00283B57">
          <w:rPr>
            <w:rStyle w:val="a6"/>
            <w:i w:val="0"/>
            <w:sz w:val="20"/>
            <w:lang w:val="de-DE"/>
          </w:rPr>
          <w:t>mon</w:t>
        </w:r>
        <w:r w:rsidRPr="00954838">
          <w:rPr>
            <w:rStyle w:val="a6"/>
            <w:i w:val="0"/>
            <w:sz w:val="20"/>
          </w:rPr>
          <w:t>.</w:t>
        </w:r>
        <w:r w:rsidRPr="00283B57">
          <w:rPr>
            <w:rStyle w:val="a6"/>
            <w:i w:val="0"/>
            <w:sz w:val="20"/>
            <w:lang w:val="de-DE"/>
          </w:rPr>
          <w:t>gov</w:t>
        </w:r>
        <w:r w:rsidRPr="00954838">
          <w:rPr>
            <w:rStyle w:val="a6"/>
            <w:i w:val="0"/>
            <w:sz w:val="20"/>
          </w:rPr>
          <w:t>.</w:t>
        </w:r>
        <w:r w:rsidRPr="00283B57">
          <w:rPr>
            <w:rStyle w:val="a6"/>
            <w:i w:val="0"/>
            <w:sz w:val="20"/>
            <w:lang w:val="de-DE"/>
          </w:rPr>
          <w:t>ua</w:t>
        </w:r>
      </w:hyperlink>
      <w:r w:rsidRPr="00954838">
        <w:rPr>
          <w:rFonts w:ascii="Times New Roman" w:hAnsi="Times New Roman"/>
          <w:i w:val="0"/>
          <w:color w:val="0000FF"/>
          <w:sz w:val="20"/>
        </w:rPr>
        <w:t xml:space="preserve">, </w:t>
      </w:r>
      <w:r w:rsidRPr="00283B57">
        <w:rPr>
          <w:rFonts w:ascii="Times New Roman" w:hAnsi="Times New Roman"/>
          <w:i w:val="0"/>
          <w:color w:val="0000FF"/>
          <w:sz w:val="20"/>
        </w:rPr>
        <w:t>код ЄДРПОУ 38621185</w:t>
      </w:r>
    </w:p>
    <w:p w:rsidR="006A586D" w:rsidRPr="00954838" w:rsidRDefault="00A131AA" w:rsidP="006A586D">
      <w:pPr>
        <w:pStyle w:val="FR3"/>
        <w:spacing w:before="0" w:line="240" w:lineRule="auto"/>
        <w:ind w:left="0" w:right="0"/>
        <w:rPr>
          <w:color w:val="0000FF"/>
          <w:sz w:val="8"/>
          <w:szCs w:val="8"/>
        </w:rPr>
      </w:pPr>
      <w:r>
        <w:rPr>
          <w:noProof/>
          <w:color w:val="0000FF"/>
          <w:lang w:eastAsia="uk-UA"/>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35560</wp:posOffset>
                </wp:positionV>
                <wp:extent cx="6400800" cy="86995"/>
                <wp:effectExtent l="19050" t="16510" r="19050" b="203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6995"/>
                          <a:chOff x="1260" y="3431"/>
                          <a:chExt cx="10080" cy="137"/>
                        </a:xfrm>
                      </wpg:grpSpPr>
                      <wps:wsp>
                        <wps:cNvPr id="5" name="Line 3"/>
                        <wps:cNvCnPr/>
                        <wps:spPr bwMode="auto">
                          <a:xfrm>
                            <a:off x="1276" y="3431"/>
                            <a:ext cx="10064" cy="43"/>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flipV="1">
                            <a:off x="1260" y="3549"/>
                            <a:ext cx="10080" cy="19"/>
                          </a:xfrm>
                          <a:prstGeom prst="line">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2.8pt;width:7in;height:6.85pt;z-index:251657728" coordorigin="1260,3431" coordsize="10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">
                <v:line id="Line 3" o:spid="_x0000_s1027" style="position:absolute;visibility:visible;mso-wrap-style:square" from="1276,3431" to="11340,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u2HcMAAADaAAAADwAAAGRycy9kb3ducmV2LnhtbESPQWsCMRSE7wX/Q3hCL6VmFZSyGkXK&#10;Flo86fbS22Pz3CxuXpbkqdt/3xQKPQ4z8w2z2Y2+VzeKqQtsYD4rQBE3wXbcGvis355fQCVBttgH&#10;JgPflGC3nTxssLThzke6naRVGcKpRANOZCi1To0jj2kWBuLsnUP0KFnGVtuI9wz3vV4UxUp77Dgv&#10;OBzo1VFzOV29Abk8uXk1dvWhKqQKdfxYnK9fxjxOx/0alNAo/+G/9rs1sITfK/kG6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rth3DAAAA2gAAAA8AAAAAAAAAAAAA&#10;AAAAoQIAAGRycy9kb3ducmV2LnhtbFBLBQYAAAAABAAEAPkAAACRAwAAAAA=&#10;" strokecolor="blue" strokeweight="2.25pt"/>
                <v:line id="Line 4" o:spid="_x0000_s1028" style="position:absolute;flip:y;visibility:visible;mso-wrap-style:square" from="1260,3549" to="11340,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N68UAAADaAAAADwAAAGRycy9kb3ducmV2LnhtbESPQWvCQBSE7wX/w/IKvdVNNdiSugki&#10;SIWiUGvB4zP7TEKzb0N2TVJ/vSsIPQ4z8w0zzwZTi45aV1lW8DKOQBDnVldcKNh/r57fQDiPrLG2&#10;TAr+yEGWjh7mmGjb8xd1O1+IAGGXoILS+yaR0uUlGXRj2xAH72Rbgz7ItpC6xT7ATS0nUTSTBisO&#10;CyU2tCwp/92djYLFfrM9XKbTz+GoXz9+Tn2cSxcr9fQ4LN5BeBr8f/jeXmsFM7hdCTd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gN68UAAADaAAAADwAAAAAAAAAA&#10;AAAAAAChAgAAZHJzL2Rvd25yZXYueG1sUEsFBgAAAAAEAAQA+QAAAJMDAAAAAA==&#10;" strokecolor="yellow" strokeweight="2pt"/>
              </v:group>
            </w:pict>
          </mc:Fallback>
        </mc:AlternateContent>
      </w:r>
    </w:p>
    <w:p w:rsidR="006A586D" w:rsidRDefault="006A586D" w:rsidP="006A586D">
      <w:pPr>
        <w:pStyle w:val="FR2"/>
        <w:spacing w:line="240" w:lineRule="auto"/>
        <w:ind w:left="0"/>
        <w:rPr>
          <w:b/>
          <w:sz w:val="28"/>
          <w:szCs w:val="28"/>
        </w:rPr>
      </w:pPr>
    </w:p>
    <w:p w:rsidR="006A586D" w:rsidRPr="00C612E3" w:rsidRDefault="006A586D" w:rsidP="006A586D">
      <w:pPr>
        <w:pStyle w:val="FR2"/>
        <w:spacing w:line="240" w:lineRule="auto"/>
        <w:ind w:left="0"/>
        <w:rPr>
          <w:szCs w:val="28"/>
        </w:rPr>
      </w:pPr>
      <w:r w:rsidRPr="00C612E3">
        <w:rPr>
          <w:szCs w:val="28"/>
        </w:rPr>
        <w:t>Від 23.07.2015 №  1/9-347</w:t>
      </w:r>
      <w:r w:rsidRPr="00C612E3">
        <w:rPr>
          <w:szCs w:val="28"/>
          <w:u w:val="single"/>
        </w:rPr>
        <w:t xml:space="preserve">     </w:t>
      </w:r>
      <w:r w:rsidRPr="00C612E3">
        <w:rPr>
          <w:szCs w:val="28"/>
        </w:rPr>
        <w:t xml:space="preserve"> </w:t>
      </w:r>
      <w:r w:rsidRPr="00C612E3">
        <w:rPr>
          <w:szCs w:val="28"/>
          <w:u w:val="single"/>
        </w:rPr>
        <w:t xml:space="preserve">                 </w:t>
      </w:r>
    </w:p>
    <w:p w:rsidR="005F07E2" w:rsidRPr="00C612E3" w:rsidRDefault="005F07E2" w:rsidP="005F07E2">
      <w:pPr>
        <w:spacing w:after="0" w:line="240" w:lineRule="auto"/>
        <w:ind w:left="5040"/>
        <w:jc w:val="both"/>
        <w:rPr>
          <w:rFonts w:ascii="Times New Roman" w:hAnsi="Times New Roman"/>
          <w:b/>
          <w:sz w:val="24"/>
          <w:szCs w:val="28"/>
        </w:rPr>
      </w:pPr>
      <w:r w:rsidRPr="00C612E3">
        <w:rPr>
          <w:rFonts w:ascii="Times New Roman" w:hAnsi="Times New Roman"/>
          <w:b/>
          <w:sz w:val="24"/>
          <w:szCs w:val="28"/>
        </w:rPr>
        <w:t>Департаменти (управління) освіти і науки обласних та Київської міської державних адміністрацій</w:t>
      </w:r>
    </w:p>
    <w:p w:rsidR="005F07E2" w:rsidRPr="00C612E3" w:rsidRDefault="005F07E2" w:rsidP="005F07E2">
      <w:pPr>
        <w:spacing w:after="0" w:line="240" w:lineRule="auto"/>
        <w:ind w:left="5040"/>
        <w:jc w:val="both"/>
        <w:rPr>
          <w:rFonts w:ascii="Times New Roman" w:hAnsi="Times New Roman"/>
          <w:b/>
          <w:sz w:val="24"/>
          <w:szCs w:val="28"/>
        </w:rPr>
      </w:pPr>
    </w:p>
    <w:p w:rsidR="005F07E2" w:rsidRPr="00C612E3" w:rsidRDefault="005F07E2" w:rsidP="005F07E2">
      <w:pPr>
        <w:spacing w:after="0" w:line="240" w:lineRule="auto"/>
        <w:ind w:left="5040"/>
        <w:jc w:val="both"/>
        <w:rPr>
          <w:rFonts w:ascii="Times New Roman" w:hAnsi="Times New Roman"/>
          <w:b/>
          <w:sz w:val="24"/>
          <w:szCs w:val="28"/>
        </w:rPr>
      </w:pPr>
      <w:r w:rsidRPr="00C612E3">
        <w:rPr>
          <w:rFonts w:ascii="Times New Roman" w:hAnsi="Times New Roman"/>
          <w:b/>
          <w:sz w:val="24"/>
          <w:szCs w:val="28"/>
        </w:rPr>
        <w:t>Інститути післядипломної педагогічної освіти</w:t>
      </w:r>
    </w:p>
    <w:p w:rsidR="008B6333" w:rsidRPr="00C612E3" w:rsidRDefault="008B6333" w:rsidP="005F07E2">
      <w:pPr>
        <w:spacing w:after="0" w:line="240" w:lineRule="auto"/>
        <w:ind w:firstLine="709"/>
        <w:jc w:val="both"/>
        <w:rPr>
          <w:rFonts w:ascii="Times New Roman" w:hAnsi="Times New Roman"/>
          <w:b/>
          <w:sz w:val="24"/>
          <w:szCs w:val="28"/>
        </w:rPr>
      </w:pPr>
    </w:p>
    <w:p w:rsidR="005F07E2" w:rsidRPr="00C612E3" w:rsidRDefault="005F07E2" w:rsidP="005F07E2">
      <w:pPr>
        <w:spacing w:after="0" w:line="240" w:lineRule="auto"/>
        <w:jc w:val="both"/>
        <w:rPr>
          <w:rFonts w:ascii="Times New Roman" w:hAnsi="Times New Roman"/>
          <w:b/>
          <w:sz w:val="24"/>
          <w:szCs w:val="28"/>
        </w:rPr>
      </w:pPr>
      <w:bookmarkStart w:id="0" w:name="_GoBack"/>
      <w:r w:rsidRPr="00C612E3">
        <w:rPr>
          <w:rFonts w:ascii="Times New Roman" w:hAnsi="Times New Roman"/>
          <w:b/>
          <w:sz w:val="24"/>
          <w:szCs w:val="28"/>
        </w:rPr>
        <w:t xml:space="preserve">Про забезпечення фахівцями та пріоритетні </w:t>
      </w:r>
    </w:p>
    <w:p w:rsidR="005F07E2" w:rsidRPr="00C612E3" w:rsidRDefault="005F07E2" w:rsidP="005F07E2">
      <w:pPr>
        <w:spacing w:after="0" w:line="240" w:lineRule="auto"/>
        <w:jc w:val="both"/>
        <w:rPr>
          <w:rFonts w:ascii="Times New Roman" w:hAnsi="Times New Roman"/>
          <w:b/>
          <w:sz w:val="24"/>
          <w:szCs w:val="28"/>
        </w:rPr>
      </w:pPr>
      <w:r w:rsidRPr="00C612E3">
        <w:rPr>
          <w:rFonts w:ascii="Times New Roman" w:hAnsi="Times New Roman"/>
          <w:b/>
          <w:sz w:val="24"/>
          <w:szCs w:val="28"/>
        </w:rPr>
        <w:t xml:space="preserve">напрями діяльності психологічної служби </w:t>
      </w:r>
    </w:p>
    <w:p w:rsidR="005F07E2" w:rsidRPr="00C612E3" w:rsidRDefault="005F07E2" w:rsidP="005F07E2">
      <w:pPr>
        <w:spacing w:after="0" w:line="240" w:lineRule="auto"/>
        <w:jc w:val="both"/>
        <w:rPr>
          <w:rFonts w:ascii="Times New Roman" w:hAnsi="Times New Roman"/>
          <w:b/>
          <w:sz w:val="24"/>
          <w:szCs w:val="28"/>
        </w:rPr>
      </w:pPr>
      <w:r w:rsidRPr="00C612E3">
        <w:rPr>
          <w:rFonts w:ascii="Times New Roman" w:hAnsi="Times New Roman"/>
          <w:b/>
          <w:sz w:val="24"/>
          <w:szCs w:val="28"/>
        </w:rPr>
        <w:t>системи освіти у 2015-2016 навчальному році</w:t>
      </w:r>
    </w:p>
    <w:bookmarkEnd w:id="0"/>
    <w:p w:rsidR="005F07E2" w:rsidRPr="00C612E3" w:rsidRDefault="005F07E2" w:rsidP="005F07E2">
      <w:pPr>
        <w:spacing w:after="0" w:line="240" w:lineRule="auto"/>
        <w:ind w:firstLine="709"/>
        <w:jc w:val="both"/>
        <w:rPr>
          <w:rFonts w:ascii="Times New Roman" w:hAnsi="Times New Roman"/>
          <w:sz w:val="24"/>
          <w:szCs w:val="28"/>
        </w:rPr>
      </w:pPr>
    </w:p>
    <w:p w:rsidR="00C612E3" w:rsidRPr="00C612E3" w:rsidRDefault="00C612E3" w:rsidP="005F07E2">
      <w:pPr>
        <w:spacing w:after="0" w:line="240" w:lineRule="auto"/>
        <w:ind w:firstLine="709"/>
        <w:jc w:val="both"/>
        <w:rPr>
          <w:rFonts w:ascii="Times New Roman" w:hAnsi="Times New Roman"/>
          <w:sz w:val="24"/>
          <w:szCs w:val="28"/>
        </w:rPr>
      </w:pPr>
    </w:p>
    <w:p w:rsidR="005F07E2" w:rsidRPr="00C612E3" w:rsidRDefault="005F07E2" w:rsidP="005F07E2">
      <w:pPr>
        <w:spacing w:after="0" w:line="240" w:lineRule="auto"/>
        <w:ind w:firstLine="709"/>
        <w:jc w:val="both"/>
        <w:rPr>
          <w:rFonts w:ascii="Times New Roman" w:hAnsi="Times New Roman"/>
          <w:sz w:val="24"/>
          <w:szCs w:val="28"/>
        </w:rPr>
      </w:pPr>
      <w:r w:rsidRPr="00C612E3">
        <w:rPr>
          <w:rFonts w:ascii="Times New Roman" w:hAnsi="Times New Roman"/>
          <w:sz w:val="24"/>
          <w:szCs w:val="28"/>
        </w:rPr>
        <w:t>За результатами діяльності органів освіти і науки обласних та Київської міської державних адміністрацій Міністерство надсилає для використання в роботі аналітичні матеріали щодо забезпечення фахівцями та пріоритетні напрями діяльності психологічної служби системи освіти у 2015-2016 навчальному роц</w:t>
      </w:r>
      <w:r w:rsidR="00CC4488" w:rsidRPr="00C612E3">
        <w:rPr>
          <w:rFonts w:ascii="Times New Roman" w:hAnsi="Times New Roman"/>
          <w:sz w:val="24"/>
          <w:szCs w:val="28"/>
        </w:rPr>
        <w:t>і</w:t>
      </w:r>
      <w:r w:rsidRPr="00C612E3">
        <w:rPr>
          <w:rFonts w:ascii="Times New Roman" w:hAnsi="Times New Roman"/>
          <w:sz w:val="24"/>
          <w:szCs w:val="28"/>
        </w:rPr>
        <w:t>.</w:t>
      </w:r>
    </w:p>
    <w:p w:rsidR="005F07E2" w:rsidRPr="00C612E3" w:rsidRDefault="005F07E2" w:rsidP="005F07E2">
      <w:pPr>
        <w:spacing w:after="0" w:line="240" w:lineRule="auto"/>
        <w:ind w:firstLine="709"/>
        <w:jc w:val="both"/>
        <w:rPr>
          <w:rFonts w:ascii="Times New Roman" w:hAnsi="Times New Roman"/>
          <w:sz w:val="24"/>
          <w:szCs w:val="28"/>
        </w:rPr>
      </w:pPr>
      <w:r w:rsidRPr="00C612E3">
        <w:rPr>
          <w:rFonts w:ascii="Times New Roman" w:hAnsi="Times New Roman"/>
          <w:sz w:val="24"/>
          <w:szCs w:val="28"/>
        </w:rPr>
        <w:t xml:space="preserve">Додаток: на </w:t>
      </w:r>
      <w:r w:rsidR="008B7E33" w:rsidRPr="00C612E3">
        <w:rPr>
          <w:rFonts w:ascii="Times New Roman" w:hAnsi="Times New Roman"/>
          <w:sz w:val="24"/>
          <w:szCs w:val="28"/>
        </w:rPr>
        <w:t>9</w:t>
      </w:r>
      <w:r w:rsidRPr="00C612E3">
        <w:rPr>
          <w:rFonts w:ascii="Times New Roman" w:hAnsi="Times New Roman"/>
          <w:sz w:val="24"/>
          <w:szCs w:val="28"/>
        </w:rPr>
        <w:t xml:space="preserve"> арк.</w:t>
      </w:r>
    </w:p>
    <w:p w:rsidR="005F07E2" w:rsidRPr="00C612E3" w:rsidRDefault="005F07E2" w:rsidP="005F07E2">
      <w:pPr>
        <w:spacing w:after="0" w:line="240" w:lineRule="auto"/>
        <w:ind w:firstLine="709"/>
        <w:jc w:val="both"/>
        <w:rPr>
          <w:rFonts w:ascii="Times New Roman" w:hAnsi="Times New Roman"/>
          <w:sz w:val="24"/>
          <w:szCs w:val="28"/>
        </w:rPr>
      </w:pPr>
    </w:p>
    <w:p w:rsidR="005F07E2" w:rsidRPr="00C612E3" w:rsidRDefault="005F07E2" w:rsidP="005F07E2">
      <w:pPr>
        <w:spacing w:after="0" w:line="240" w:lineRule="auto"/>
        <w:ind w:firstLine="709"/>
        <w:jc w:val="both"/>
        <w:rPr>
          <w:rFonts w:ascii="Times New Roman" w:hAnsi="Times New Roman"/>
          <w:sz w:val="24"/>
          <w:szCs w:val="28"/>
        </w:rPr>
      </w:pPr>
    </w:p>
    <w:p w:rsidR="005F07E2" w:rsidRPr="00C612E3" w:rsidRDefault="005F07E2" w:rsidP="005F07E2">
      <w:pPr>
        <w:spacing w:after="0" w:line="240" w:lineRule="auto"/>
        <w:jc w:val="both"/>
        <w:rPr>
          <w:rFonts w:ascii="Times New Roman" w:hAnsi="Times New Roman"/>
          <w:sz w:val="24"/>
          <w:szCs w:val="28"/>
        </w:rPr>
      </w:pPr>
      <w:r w:rsidRPr="00C612E3">
        <w:rPr>
          <w:rFonts w:ascii="Times New Roman" w:hAnsi="Times New Roman"/>
          <w:sz w:val="24"/>
          <w:szCs w:val="28"/>
        </w:rPr>
        <w:t xml:space="preserve">Заступник Міністра                                                                  </w:t>
      </w:r>
      <w:r w:rsidR="00D01707" w:rsidRPr="00C612E3">
        <w:rPr>
          <w:rFonts w:ascii="Times New Roman" w:hAnsi="Times New Roman"/>
          <w:sz w:val="24"/>
          <w:szCs w:val="28"/>
        </w:rPr>
        <w:t xml:space="preserve">         </w:t>
      </w:r>
      <w:r w:rsidRPr="00C612E3">
        <w:rPr>
          <w:rFonts w:ascii="Times New Roman" w:hAnsi="Times New Roman"/>
          <w:sz w:val="24"/>
          <w:szCs w:val="28"/>
        </w:rPr>
        <w:t>Павло  Полянський</w:t>
      </w:r>
    </w:p>
    <w:p w:rsidR="005F07E2" w:rsidRPr="00C876B1" w:rsidRDefault="005F07E2" w:rsidP="005F07E2">
      <w:pPr>
        <w:spacing w:after="0" w:line="240" w:lineRule="auto"/>
        <w:ind w:firstLine="709"/>
        <w:jc w:val="both"/>
        <w:rPr>
          <w:rFonts w:ascii="Times New Roman" w:hAnsi="Times New Roman"/>
          <w:sz w:val="28"/>
          <w:szCs w:val="28"/>
        </w:rPr>
      </w:pPr>
    </w:p>
    <w:p w:rsidR="005F07E2" w:rsidRDefault="005F07E2" w:rsidP="005F07E2">
      <w:pPr>
        <w:spacing w:after="0" w:line="240" w:lineRule="auto"/>
        <w:ind w:firstLine="709"/>
        <w:jc w:val="both"/>
        <w:rPr>
          <w:rFonts w:ascii="Times New Roman" w:hAnsi="Times New Roman"/>
          <w:sz w:val="28"/>
          <w:szCs w:val="28"/>
        </w:rPr>
      </w:pPr>
    </w:p>
    <w:p w:rsidR="005F07E2" w:rsidRDefault="005F07E2" w:rsidP="005F07E2">
      <w:pPr>
        <w:spacing w:after="0" w:line="240" w:lineRule="auto"/>
        <w:ind w:firstLine="709"/>
        <w:jc w:val="both"/>
        <w:rPr>
          <w:rFonts w:ascii="Times New Roman" w:hAnsi="Times New Roman"/>
          <w:sz w:val="28"/>
          <w:szCs w:val="28"/>
        </w:rPr>
      </w:pPr>
    </w:p>
    <w:p w:rsidR="00CB487E" w:rsidRDefault="00CB487E" w:rsidP="005F07E2">
      <w:pPr>
        <w:spacing w:after="0" w:line="240" w:lineRule="auto"/>
        <w:ind w:firstLine="709"/>
        <w:jc w:val="both"/>
        <w:rPr>
          <w:rFonts w:ascii="Times New Roman" w:hAnsi="Times New Roman"/>
          <w:sz w:val="28"/>
          <w:szCs w:val="28"/>
        </w:rPr>
      </w:pPr>
    </w:p>
    <w:p w:rsidR="00CB487E" w:rsidRDefault="00CB487E" w:rsidP="005F07E2">
      <w:pPr>
        <w:spacing w:after="0" w:line="240" w:lineRule="auto"/>
        <w:ind w:firstLine="709"/>
        <w:jc w:val="both"/>
        <w:rPr>
          <w:rFonts w:ascii="Times New Roman" w:hAnsi="Times New Roman"/>
          <w:sz w:val="28"/>
          <w:szCs w:val="28"/>
        </w:rPr>
      </w:pPr>
    </w:p>
    <w:p w:rsidR="00CB487E" w:rsidRDefault="00CB487E" w:rsidP="005F07E2">
      <w:pPr>
        <w:spacing w:after="0" w:line="240" w:lineRule="auto"/>
        <w:ind w:firstLine="709"/>
        <w:jc w:val="both"/>
        <w:rPr>
          <w:rFonts w:ascii="Times New Roman" w:hAnsi="Times New Roman"/>
          <w:sz w:val="28"/>
          <w:szCs w:val="28"/>
        </w:rPr>
      </w:pPr>
    </w:p>
    <w:p w:rsidR="00CB487E" w:rsidRDefault="00CB487E" w:rsidP="005F07E2">
      <w:pPr>
        <w:spacing w:after="0" w:line="240" w:lineRule="auto"/>
        <w:ind w:firstLine="709"/>
        <w:jc w:val="both"/>
        <w:rPr>
          <w:rFonts w:ascii="Times New Roman" w:hAnsi="Times New Roman"/>
          <w:sz w:val="28"/>
          <w:szCs w:val="28"/>
        </w:rPr>
      </w:pPr>
    </w:p>
    <w:p w:rsidR="00C612E3" w:rsidRDefault="00C612E3" w:rsidP="005F07E2">
      <w:pPr>
        <w:spacing w:after="0" w:line="240" w:lineRule="auto"/>
        <w:ind w:firstLine="709"/>
        <w:jc w:val="both"/>
        <w:rPr>
          <w:rFonts w:ascii="Times New Roman" w:hAnsi="Times New Roman"/>
          <w:sz w:val="28"/>
          <w:szCs w:val="28"/>
        </w:rPr>
      </w:pPr>
    </w:p>
    <w:p w:rsidR="00C612E3" w:rsidRDefault="00C612E3" w:rsidP="005F07E2">
      <w:pPr>
        <w:spacing w:after="0" w:line="240" w:lineRule="auto"/>
        <w:ind w:firstLine="709"/>
        <w:jc w:val="both"/>
        <w:rPr>
          <w:rFonts w:ascii="Times New Roman" w:hAnsi="Times New Roman"/>
          <w:sz w:val="28"/>
          <w:szCs w:val="28"/>
        </w:rPr>
      </w:pPr>
    </w:p>
    <w:p w:rsidR="00C612E3" w:rsidRDefault="00C612E3" w:rsidP="005F07E2">
      <w:pPr>
        <w:spacing w:after="0" w:line="240" w:lineRule="auto"/>
        <w:ind w:firstLine="709"/>
        <w:jc w:val="both"/>
        <w:rPr>
          <w:rFonts w:ascii="Times New Roman" w:hAnsi="Times New Roman"/>
          <w:sz w:val="28"/>
          <w:szCs w:val="28"/>
        </w:rPr>
      </w:pPr>
    </w:p>
    <w:p w:rsidR="00C612E3" w:rsidRDefault="00C612E3" w:rsidP="005F07E2">
      <w:pPr>
        <w:spacing w:after="0" w:line="240" w:lineRule="auto"/>
        <w:ind w:firstLine="709"/>
        <w:jc w:val="both"/>
        <w:rPr>
          <w:rFonts w:ascii="Times New Roman" w:hAnsi="Times New Roman"/>
          <w:sz w:val="28"/>
          <w:szCs w:val="28"/>
        </w:rPr>
      </w:pPr>
    </w:p>
    <w:p w:rsidR="00CB487E" w:rsidRDefault="00CB487E" w:rsidP="005F07E2">
      <w:pPr>
        <w:spacing w:after="0" w:line="240" w:lineRule="auto"/>
        <w:ind w:firstLine="709"/>
        <w:jc w:val="both"/>
        <w:rPr>
          <w:rFonts w:ascii="Times New Roman" w:hAnsi="Times New Roman"/>
          <w:sz w:val="28"/>
          <w:szCs w:val="28"/>
        </w:rPr>
      </w:pPr>
    </w:p>
    <w:p w:rsidR="00BC58FE" w:rsidRDefault="00BC58FE" w:rsidP="005F07E2">
      <w:pPr>
        <w:spacing w:after="0" w:line="240" w:lineRule="auto"/>
        <w:ind w:firstLine="709"/>
        <w:jc w:val="both"/>
        <w:rPr>
          <w:rFonts w:ascii="Times New Roman" w:hAnsi="Times New Roman"/>
          <w:sz w:val="28"/>
          <w:szCs w:val="28"/>
        </w:rPr>
      </w:pPr>
    </w:p>
    <w:p w:rsidR="00BC58FE" w:rsidRDefault="00BC58FE" w:rsidP="005F07E2">
      <w:pPr>
        <w:spacing w:after="0" w:line="240" w:lineRule="auto"/>
        <w:ind w:firstLine="709"/>
        <w:jc w:val="both"/>
        <w:rPr>
          <w:rFonts w:ascii="Times New Roman" w:hAnsi="Times New Roman"/>
          <w:sz w:val="28"/>
          <w:szCs w:val="28"/>
        </w:rPr>
      </w:pPr>
    </w:p>
    <w:p w:rsidR="00BC58FE" w:rsidRDefault="00BC58FE" w:rsidP="005F07E2">
      <w:pPr>
        <w:spacing w:after="0" w:line="240" w:lineRule="auto"/>
        <w:ind w:firstLine="709"/>
        <w:jc w:val="both"/>
        <w:rPr>
          <w:rFonts w:ascii="Times New Roman" w:hAnsi="Times New Roman"/>
          <w:sz w:val="28"/>
          <w:szCs w:val="28"/>
        </w:rPr>
      </w:pPr>
    </w:p>
    <w:p w:rsidR="00C612E3" w:rsidRDefault="00C612E3" w:rsidP="005F07E2">
      <w:pPr>
        <w:spacing w:after="0" w:line="240" w:lineRule="auto"/>
        <w:ind w:firstLine="709"/>
        <w:jc w:val="both"/>
        <w:rPr>
          <w:rFonts w:ascii="Times New Roman" w:hAnsi="Times New Roman"/>
          <w:sz w:val="28"/>
          <w:szCs w:val="28"/>
        </w:rPr>
      </w:pPr>
    </w:p>
    <w:p w:rsidR="00C612E3" w:rsidRDefault="00C612E3" w:rsidP="005F07E2">
      <w:pPr>
        <w:spacing w:after="0" w:line="240" w:lineRule="auto"/>
        <w:ind w:firstLine="709"/>
        <w:jc w:val="both"/>
        <w:rPr>
          <w:rFonts w:ascii="Times New Roman" w:hAnsi="Times New Roman"/>
          <w:sz w:val="28"/>
          <w:szCs w:val="28"/>
        </w:rPr>
      </w:pPr>
    </w:p>
    <w:p w:rsidR="00BC58FE" w:rsidRDefault="00BC58FE" w:rsidP="005F07E2">
      <w:pPr>
        <w:spacing w:after="0" w:line="240" w:lineRule="auto"/>
        <w:ind w:firstLine="709"/>
        <w:jc w:val="both"/>
        <w:rPr>
          <w:rFonts w:ascii="Times New Roman" w:hAnsi="Times New Roman"/>
          <w:sz w:val="28"/>
          <w:szCs w:val="28"/>
        </w:rPr>
      </w:pPr>
    </w:p>
    <w:p w:rsidR="005F07E2" w:rsidRPr="00CD1BF9" w:rsidRDefault="005F07E2" w:rsidP="00CB487E">
      <w:pPr>
        <w:spacing w:after="0" w:line="240" w:lineRule="auto"/>
        <w:jc w:val="both"/>
        <w:rPr>
          <w:rFonts w:ascii="Times New Roman" w:hAnsi="Times New Roman"/>
          <w:sz w:val="20"/>
          <w:szCs w:val="20"/>
        </w:rPr>
      </w:pPr>
      <w:r w:rsidRPr="00CD1BF9">
        <w:rPr>
          <w:rFonts w:ascii="Times New Roman" w:hAnsi="Times New Roman"/>
          <w:sz w:val="20"/>
          <w:szCs w:val="20"/>
        </w:rPr>
        <w:t>Березіна Н.О.4813231</w:t>
      </w:r>
    </w:p>
    <w:p w:rsidR="005F07E2" w:rsidRPr="00CD1BF9" w:rsidRDefault="005F07E2" w:rsidP="00CB487E">
      <w:pPr>
        <w:spacing w:after="0" w:line="240" w:lineRule="auto"/>
        <w:jc w:val="both"/>
        <w:rPr>
          <w:rFonts w:ascii="Times New Roman" w:hAnsi="Times New Roman"/>
          <w:sz w:val="20"/>
          <w:szCs w:val="20"/>
        </w:rPr>
      </w:pPr>
      <w:r w:rsidRPr="00CD1BF9">
        <w:rPr>
          <w:rFonts w:ascii="Times New Roman" w:hAnsi="Times New Roman"/>
          <w:sz w:val="20"/>
          <w:szCs w:val="20"/>
        </w:rPr>
        <w:t>Панок В.Г</w:t>
      </w:r>
      <w:r>
        <w:rPr>
          <w:rFonts w:ascii="Times New Roman" w:hAnsi="Times New Roman"/>
          <w:sz w:val="20"/>
          <w:szCs w:val="20"/>
        </w:rPr>
        <w:t>.</w:t>
      </w:r>
      <w:r w:rsidRPr="00CD1BF9">
        <w:rPr>
          <w:rFonts w:ascii="Times New Roman" w:hAnsi="Times New Roman"/>
          <w:sz w:val="20"/>
          <w:szCs w:val="20"/>
        </w:rPr>
        <w:t>2527011</w:t>
      </w:r>
    </w:p>
    <w:p w:rsidR="005F07E2" w:rsidRDefault="005F07E2" w:rsidP="005F07E2">
      <w:pPr>
        <w:pStyle w:val="yiv8424960188msonormal"/>
        <w:spacing w:before="0" w:beforeAutospacing="0" w:after="0" w:afterAutospacing="0"/>
        <w:ind w:firstLine="709"/>
        <w:contextualSpacing/>
        <w:jc w:val="right"/>
        <w:rPr>
          <w:sz w:val="28"/>
          <w:szCs w:val="28"/>
        </w:rPr>
      </w:pPr>
    </w:p>
    <w:p w:rsidR="00A03A95" w:rsidRDefault="00A03A95" w:rsidP="005F07E2">
      <w:pPr>
        <w:pStyle w:val="yiv8424960188msonormal"/>
        <w:spacing w:before="0" w:beforeAutospacing="0" w:after="0" w:afterAutospacing="0"/>
        <w:ind w:left="5040"/>
        <w:contextualSpacing/>
        <w:jc w:val="both"/>
      </w:pPr>
    </w:p>
    <w:p w:rsidR="00E037AC" w:rsidRDefault="005F07E2" w:rsidP="005F07E2">
      <w:pPr>
        <w:pStyle w:val="yiv8424960188msonormal"/>
        <w:spacing w:before="0" w:beforeAutospacing="0" w:after="0" w:afterAutospacing="0"/>
        <w:ind w:left="5040"/>
        <w:contextualSpacing/>
        <w:jc w:val="both"/>
      </w:pPr>
      <w:r w:rsidRPr="00E037AC">
        <w:t xml:space="preserve">Додаток </w:t>
      </w:r>
      <w:r w:rsidR="00E037AC">
        <w:t>1</w:t>
      </w:r>
    </w:p>
    <w:p w:rsidR="005F07E2" w:rsidRDefault="005F07E2" w:rsidP="005F07E2">
      <w:pPr>
        <w:pStyle w:val="yiv8424960188msonormal"/>
        <w:spacing w:before="0" w:beforeAutospacing="0" w:after="0" w:afterAutospacing="0"/>
        <w:ind w:left="5040"/>
        <w:contextualSpacing/>
        <w:jc w:val="both"/>
      </w:pPr>
      <w:r w:rsidRPr="00E037AC">
        <w:t xml:space="preserve">до листа Міністерства освіти і науки України від </w:t>
      </w:r>
      <w:r w:rsidR="00905464">
        <w:t>23.07.2015</w:t>
      </w:r>
      <w:r w:rsidRPr="00E037AC">
        <w:t xml:space="preserve"> р. № 1/9-</w:t>
      </w:r>
      <w:r w:rsidR="00905464">
        <w:t>347</w:t>
      </w:r>
    </w:p>
    <w:p w:rsidR="00905464" w:rsidRPr="00E037AC" w:rsidRDefault="00905464" w:rsidP="005F07E2">
      <w:pPr>
        <w:pStyle w:val="yiv8424960188msonormal"/>
        <w:spacing w:before="0" w:beforeAutospacing="0" w:after="0" w:afterAutospacing="0"/>
        <w:ind w:left="5040"/>
        <w:contextualSpacing/>
        <w:jc w:val="both"/>
      </w:pPr>
    </w:p>
    <w:p w:rsidR="005F07E2" w:rsidRDefault="005F07E2" w:rsidP="005F07E2">
      <w:pPr>
        <w:spacing w:after="0" w:line="240" w:lineRule="auto"/>
        <w:ind w:firstLine="709"/>
        <w:jc w:val="center"/>
        <w:rPr>
          <w:rFonts w:ascii="Times New Roman" w:hAnsi="Times New Roman"/>
          <w:sz w:val="28"/>
          <w:szCs w:val="28"/>
        </w:rPr>
      </w:pPr>
      <w:r>
        <w:rPr>
          <w:rFonts w:ascii="Times New Roman" w:hAnsi="Times New Roman"/>
          <w:sz w:val="28"/>
          <w:szCs w:val="28"/>
        </w:rPr>
        <w:t>Про</w:t>
      </w:r>
      <w:r w:rsidRPr="00C876B1">
        <w:rPr>
          <w:rFonts w:ascii="Times New Roman" w:hAnsi="Times New Roman"/>
          <w:sz w:val="28"/>
          <w:szCs w:val="28"/>
        </w:rPr>
        <w:t xml:space="preserve"> </w:t>
      </w:r>
      <w:r>
        <w:rPr>
          <w:rFonts w:ascii="Times New Roman" w:hAnsi="Times New Roman"/>
          <w:sz w:val="28"/>
          <w:szCs w:val="28"/>
        </w:rPr>
        <w:t xml:space="preserve">забезпечення фахівцями та пріоритетні напрями діяльності </w:t>
      </w:r>
      <w:r w:rsidRPr="00C876B1">
        <w:rPr>
          <w:rFonts w:ascii="Times New Roman" w:hAnsi="Times New Roman"/>
          <w:sz w:val="28"/>
          <w:szCs w:val="28"/>
        </w:rPr>
        <w:t>психологічної служби системи освіти у 201</w:t>
      </w:r>
      <w:r>
        <w:rPr>
          <w:rFonts w:ascii="Times New Roman" w:hAnsi="Times New Roman"/>
          <w:sz w:val="28"/>
          <w:szCs w:val="28"/>
        </w:rPr>
        <w:t>5</w:t>
      </w:r>
      <w:r w:rsidRPr="00C876B1">
        <w:rPr>
          <w:rFonts w:ascii="Times New Roman" w:hAnsi="Times New Roman"/>
          <w:sz w:val="28"/>
          <w:szCs w:val="28"/>
        </w:rPr>
        <w:t>-201</w:t>
      </w:r>
      <w:r>
        <w:rPr>
          <w:rFonts w:ascii="Times New Roman" w:hAnsi="Times New Roman"/>
          <w:sz w:val="28"/>
          <w:szCs w:val="28"/>
        </w:rPr>
        <w:t>6</w:t>
      </w:r>
      <w:r w:rsidRPr="00C876B1">
        <w:rPr>
          <w:rFonts w:ascii="Times New Roman" w:hAnsi="Times New Roman"/>
          <w:sz w:val="28"/>
          <w:szCs w:val="28"/>
        </w:rPr>
        <w:t xml:space="preserve"> навчальному році</w:t>
      </w:r>
    </w:p>
    <w:p w:rsidR="005F07E2" w:rsidRPr="00C876B1" w:rsidRDefault="005F07E2" w:rsidP="005F07E2">
      <w:pPr>
        <w:spacing w:after="0" w:line="240" w:lineRule="auto"/>
        <w:ind w:firstLine="709"/>
        <w:jc w:val="center"/>
        <w:rPr>
          <w:rFonts w:ascii="Times New Roman" w:hAnsi="Times New Roman"/>
          <w:sz w:val="28"/>
          <w:szCs w:val="28"/>
        </w:rPr>
      </w:pPr>
    </w:p>
    <w:p w:rsidR="005F07E2" w:rsidRPr="009C4AEE" w:rsidRDefault="005F07E2" w:rsidP="005F07E2">
      <w:pPr>
        <w:pStyle w:val="yiv8424960188msonormal"/>
        <w:spacing w:before="0" w:beforeAutospacing="0" w:after="0" w:afterAutospacing="0"/>
        <w:ind w:firstLine="709"/>
        <w:contextualSpacing/>
        <w:jc w:val="both"/>
        <w:rPr>
          <w:sz w:val="28"/>
          <w:szCs w:val="28"/>
        </w:rPr>
      </w:pPr>
      <w:r>
        <w:rPr>
          <w:sz w:val="28"/>
          <w:szCs w:val="28"/>
        </w:rPr>
        <w:t>Відповідно до наказу Міністерства освіти і науки України «Про внесення змін до Положення про психологічну службу системи освіти» від 02.07.2009 р.            № 616 п</w:t>
      </w:r>
      <w:r w:rsidRPr="009C4AEE">
        <w:rPr>
          <w:sz w:val="28"/>
          <w:szCs w:val="28"/>
        </w:rPr>
        <w:t xml:space="preserve">сихологічна  служба  в  системі  освіти </w:t>
      </w:r>
      <w:r>
        <w:rPr>
          <w:sz w:val="28"/>
          <w:szCs w:val="28"/>
        </w:rPr>
        <w:t>визначається як</w:t>
      </w:r>
      <w:r w:rsidRPr="009C4AEE">
        <w:rPr>
          <w:sz w:val="28"/>
          <w:szCs w:val="28"/>
        </w:rPr>
        <w:t xml:space="preserve"> сукупність</w:t>
      </w:r>
      <w:r>
        <w:rPr>
          <w:sz w:val="28"/>
          <w:szCs w:val="28"/>
        </w:rPr>
        <w:t xml:space="preserve"> </w:t>
      </w:r>
      <w:r w:rsidRPr="009C4AEE">
        <w:rPr>
          <w:sz w:val="28"/>
          <w:szCs w:val="28"/>
        </w:rPr>
        <w:t>закладів,  установ,  підрозділів  і  посад,  що  складають   єдину</w:t>
      </w:r>
      <w:r>
        <w:rPr>
          <w:sz w:val="28"/>
          <w:szCs w:val="28"/>
        </w:rPr>
        <w:t xml:space="preserve"> </w:t>
      </w:r>
      <w:r w:rsidRPr="009C4AEE">
        <w:rPr>
          <w:sz w:val="28"/>
          <w:szCs w:val="28"/>
        </w:rPr>
        <w:t>систему,   основу  якої  становлять  фахівці  у  сфері  практичної</w:t>
      </w:r>
      <w:r>
        <w:rPr>
          <w:sz w:val="28"/>
          <w:szCs w:val="28"/>
        </w:rPr>
        <w:t xml:space="preserve"> </w:t>
      </w:r>
      <w:r w:rsidRPr="009C4AEE">
        <w:rPr>
          <w:sz w:val="28"/>
          <w:szCs w:val="28"/>
        </w:rPr>
        <w:t>психології і соціальної педагогіки: практичні психологи, соціальні</w:t>
      </w:r>
      <w:r>
        <w:rPr>
          <w:sz w:val="28"/>
          <w:szCs w:val="28"/>
        </w:rPr>
        <w:t xml:space="preserve"> </w:t>
      </w:r>
      <w:r w:rsidRPr="009C4AEE">
        <w:rPr>
          <w:sz w:val="28"/>
          <w:szCs w:val="28"/>
        </w:rPr>
        <w:t>педагоги,  методисти,  директори (завідувачі) навчально-методичних кабінетів (центрів) психологічної служби.</w:t>
      </w:r>
      <w:bookmarkStart w:id="1" w:name="o21"/>
      <w:bookmarkEnd w:id="1"/>
      <w:r>
        <w:rPr>
          <w:sz w:val="28"/>
          <w:szCs w:val="28"/>
        </w:rPr>
        <w:t xml:space="preserve"> </w:t>
      </w:r>
    </w:p>
    <w:p w:rsidR="005F07E2" w:rsidRPr="00EF1064" w:rsidRDefault="005F07E2" w:rsidP="005F07E2">
      <w:pPr>
        <w:pStyle w:val="yiv8424960188msonormal"/>
        <w:spacing w:before="0" w:beforeAutospacing="0" w:after="0" w:afterAutospacing="0"/>
        <w:ind w:firstLine="709"/>
        <w:contextualSpacing/>
        <w:jc w:val="both"/>
        <w:rPr>
          <w:sz w:val="28"/>
          <w:szCs w:val="28"/>
        </w:rPr>
      </w:pPr>
      <w:r w:rsidRPr="004C7929">
        <w:rPr>
          <w:sz w:val="28"/>
          <w:szCs w:val="28"/>
        </w:rPr>
        <w:t>Завдання психологічної служби визначаються відповідно до стратегії розвитку системи освіти</w:t>
      </w:r>
      <w:r>
        <w:rPr>
          <w:sz w:val="28"/>
          <w:szCs w:val="28"/>
        </w:rPr>
        <w:t xml:space="preserve"> України</w:t>
      </w:r>
      <w:r w:rsidRPr="004C7929">
        <w:rPr>
          <w:sz w:val="28"/>
          <w:szCs w:val="28"/>
        </w:rPr>
        <w:t xml:space="preserve"> в цілому і водночас залежать від особливостей регіональної політики, історії та традицій освіти у конкретн</w:t>
      </w:r>
      <w:r w:rsidR="00DC145C">
        <w:rPr>
          <w:sz w:val="28"/>
          <w:szCs w:val="28"/>
        </w:rPr>
        <w:t xml:space="preserve">ій області, </w:t>
      </w:r>
      <w:r w:rsidRPr="004C7929">
        <w:rPr>
          <w:sz w:val="28"/>
          <w:szCs w:val="28"/>
        </w:rPr>
        <w:t xml:space="preserve"> районі, місті, </w:t>
      </w:r>
      <w:r>
        <w:rPr>
          <w:sz w:val="28"/>
          <w:szCs w:val="28"/>
        </w:rPr>
        <w:t xml:space="preserve">селі та </w:t>
      </w:r>
      <w:r w:rsidRPr="00EF1064">
        <w:rPr>
          <w:sz w:val="28"/>
          <w:szCs w:val="28"/>
        </w:rPr>
        <w:t>селищі і повинн</w:t>
      </w:r>
      <w:r w:rsidR="00D36DF9" w:rsidRPr="00EF1064">
        <w:rPr>
          <w:sz w:val="28"/>
          <w:szCs w:val="28"/>
        </w:rPr>
        <w:t>і</w:t>
      </w:r>
      <w:r w:rsidRPr="00EF1064">
        <w:rPr>
          <w:sz w:val="28"/>
          <w:szCs w:val="28"/>
        </w:rPr>
        <w:t xml:space="preserve"> трансформуватися у відповідності до змін у нормативно-правовій базі, визначених пріоритетів діяльності освітньої галузі.</w:t>
      </w:r>
    </w:p>
    <w:p w:rsidR="00D364B5" w:rsidRDefault="005F07E2" w:rsidP="00443BBC">
      <w:pPr>
        <w:spacing w:after="0" w:line="240" w:lineRule="auto"/>
        <w:ind w:firstLine="709"/>
        <w:contextualSpacing/>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На кінець 2014-2015 навчального року кількість спеціалістів психологічної служби становила 22705 працівників</w:t>
      </w:r>
      <w:r w:rsidR="008A3996" w:rsidRPr="00EF1064">
        <w:rPr>
          <w:rFonts w:ascii="Times New Roman" w:eastAsia="Times New Roman" w:hAnsi="Times New Roman"/>
          <w:sz w:val="28"/>
          <w:szCs w:val="28"/>
          <w:lang w:eastAsia="uk-UA"/>
        </w:rPr>
        <w:t>, що становить 54,48% від їх нормативної потреби.</w:t>
      </w:r>
      <w:r w:rsidR="00832869" w:rsidRPr="00EF1064">
        <w:rPr>
          <w:rFonts w:ascii="Times New Roman" w:eastAsia="Times New Roman" w:hAnsi="Times New Roman"/>
          <w:sz w:val="28"/>
          <w:szCs w:val="28"/>
          <w:lang w:eastAsia="uk-UA"/>
        </w:rPr>
        <w:t xml:space="preserve"> Із загальної кількості фахівців </w:t>
      </w:r>
      <w:r w:rsidR="00FC7501" w:rsidRPr="00EF1064">
        <w:rPr>
          <w:rFonts w:ascii="Times New Roman" w:eastAsia="Times New Roman" w:hAnsi="Times New Roman"/>
          <w:sz w:val="28"/>
          <w:szCs w:val="28"/>
          <w:lang w:eastAsia="uk-UA"/>
        </w:rPr>
        <w:t>-</w:t>
      </w:r>
      <w:r w:rsidR="00D233EB" w:rsidRPr="00EF1064">
        <w:rPr>
          <w:rFonts w:ascii="Times New Roman" w:eastAsia="Times New Roman" w:hAnsi="Times New Roman"/>
          <w:sz w:val="28"/>
          <w:szCs w:val="28"/>
          <w:lang w:eastAsia="uk-UA"/>
        </w:rPr>
        <w:t xml:space="preserve"> </w:t>
      </w:r>
      <w:r w:rsidR="00832869" w:rsidRPr="00EF1064">
        <w:rPr>
          <w:rFonts w:ascii="Times New Roman" w:eastAsia="Times New Roman" w:hAnsi="Times New Roman"/>
          <w:sz w:val="28"/>
          <w:szCs w:val="28"/>
          <w:lang w:eastAsia="uk-UA"/>
        </w:rPr>
        <w:t>14832 практичні психологи (57,89%</w:t>
      </w:r>
      <w:r w:rsidR="00D364B5">
        <w:rPr>
          <w:rFonts w:ascii="Times New Roman" w:eastAsia="Times New Roman" w:hAnsi="Times New Roman"/>
          <w:sz w:val="28"/>
          <w:szCs w:val="28"/>
          <w:lang w:eastAsia="uk-UA"/>
        </w:rPr>
        <w:t xml:space="preserve">) </w:t>
      </w:r>
      <w:r w:rsidR="00832869" w:rsidRPr="00EF1064">
        <w:rPr>
          <w:rFonts w:ascii="Times New Roman" w:eastAsia="Times New Roman" w:hAnsi="Times New Roman"/>
          <w:sz w:val="28"/>
          <w:szCs w:val="28"/>
          <w:lang w:eastAsia="uk-UA"/>
        </w:rPr>
        <w:t xml:space="preserve">та 7047 соціальні педагоги </w:t>
      </w:r>
      <w:r w:rsidR="00D364B5">
        <w:rPr>
          <w:rFonts w:ascii="Times New Roman" w:eastAsia="Times New Roman" w:hAnsi="Times New Roman"/>
          <w:sz w:val="28"/>
          <w:szCs w:val="28"/>
          <w:lang w:eastAsia="uk-UA"/>
        </w:rPr>
        <w:t>-</w:t>
      </w:r>
      <w:r w:rsidR="00832869" w:rsidRPr="00EF1064">
        <w:rPr>
          <w:rFonts w:ascii="Times New Roman" w:eastAsia="Times New Roman" w:hAnsi="Times New Roman"/>
          <w:sz w:val="28"/>
          <w:szCs w:val="28"/>
          <w:lang w:eastAsia="uk-UA"/>
        </w:rPr>
        <w:t xml:space="preserve"> 46,19% </w:t>
      </w:r>
      <w:r w:rsidR="00D364B5">
        <w:rPr>
          <w:rFonts w:ascii="Times New Roman" w:eastAsia="Times New Roman" w:hAnsi="Times New Roman"/>
          <w:sz w:val="28"/>
          <w:szCs w:val="28"/>
          <w:lang w:eastAsia="uk-UA"/>
        </w:rPr>
        <w:t>.</w:t>
      </w:r>
    </w:p>
    <w:p w:rsidR="005F07E2" w:rsidRPr="00EF1064" w:rsidRDefault="005F07E2" w:rsidP="00443BBC">
      <w:pPr>
        <w:spacing w:after="0" w:line="240" w:lineRule="auto"/>
        <w:ind w:firstLine="709"/>
        <w:contextualSpacing/>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У порівнянні з</w:t>
      </w:r>
      <w:r w:rsidR="006A3002">
        <w:rPr>
          <w:rFonts w:ascii="Times New Roman" w:eastAsia="Times New Roman" w:hAnsi="Times New Roman"/>
          <w:sz w:val="28"/>
          <w:szCs w:val="28"/>
          <w:lang w:eastAsia="uk-UA"/>
        </w:rPr>
        <w:t xml:space="preserve"> минулим періодом</w:t>
      </w:r>
      <w:r w:rsidRPr="00EF1064">
        <w:rPr>
          <w:rFonts w:ascii="Times New Roman" w:eastAsia="Times New Roman" w:hAnsi="Times New Roman"/>
          <w:sz w:val="28"/>
          <w:szCs w:val="28"/>
          <w:lang w:eastAsia="uk-UA"/>
        </w:rPr>
        <w:t xml:space="preserve"> кількість фахівців </w:t>
      </w:r>
      <w:r w:rsidR="00443BBC" w:rsidRPr="00EF1064">
        <w:rPr>
          <w:rFonts w:ascii="Times New Roman" w:eastAsia="Times New Roman" w:hAnsi="Times New Roman"/>
          <w:sz w:val="28"/>
          <w:szCs w:val="28"/>
          <w:lang w:eastAsia="uk-UA"/>
        </w:rPr>
        <w:t xml:space="preserve">скоротилась </w:t>
      </w:r>
      <w:r w:rsidRPr="00EF1064">
        <w:rPr>
          <w:rFonts w:ascii="Times New Roman" w:eastAsia="Times New Roman" w:hAnsi="Times New Roman"/>
          <w:sz w:val="28"/>
          <w:szCs w:val="28"/>
          <w:lang w:eastAsia="uk-UA"/>
        </w:rPr>
        <w:t xml:space="preserve"> на 1606 працівників. </w:t>
      </w:r>
      <w:r w:rsidR="00443BBC" w:rsidRPr="00EF1064">
        <w:rPr>
          <w:rFonts w:ascii="Times New Roman" w:eastAsia="Times New Roman" w:hAnsi="Times New Roman"/>
          <w:sz w:val="28"/>
          <w:szCs w:val="28"/>
          <w:lang w:eastAsia="uk-UA"/>
        </w:rPr>
        <w:t>Найбільше скорочення спостерігається в Донецькій (на 1077 фахівців) та Луганській (на 742 фахівця) областях</w:t>
      </w:r>
      <w:r w:rsidRPr="00EF1064">
        <w:rPr>
          <w:rFonts w:ascii="Times New Roman" w:eastAsia="Times New Roman" w:hAnsi="Times New Roman"/>
          <w:sz w:val="28"/>
          <w:szCs w:val="28"/>
          <w:lang w:eastAsia="uk-UA"/>
        </w:rPr>
        <w:t>.</w:t>
      </w:r>
      <w:r w:rsidR="002720AB" w:rsidRPr="00EF1064">
        <w:rPr>
          <w:rFonts w:ascii="Times New Roman" w:eastAsia="Times New Roman" w:hAnsi="Times New Roman"/>
          <w:sz w:val="28"/>
          <w:szCs w:val="28"/>
          <w:lang w:eastAsia="uk-UA"/>
        </w:rPr>
        <w:t xml:space="preserve"> </w:t>
      </w:r>
      <w:r w:rsidR="00443BBC" w:rsidRPr="00EF1064">
        <w:rPr>
          <w:rFonts w:ascii="Times New Roman" w:eastAsia="Times New Roman" w:hAnsi="Times New Roman"/>
          <w:sz w:val="28"/>
          <w:szCs w:val="28"/>
          <w:lang w:eastAsia="uk-UA"/>
        </w:rPr>
        <w:t xml:space="preserve">Значне скорочення відбулось і у Харківській ( 59), Одеській (21) та в Тернопільській (4) областях. </w:t>
      </w:r>
      <w:r w:rsidR="002720AB" w:rsidRPr="00EF1064">
        <w:rPr>
          <w:rFonts w:ascii="Times New Roman" w:eastAsia="Times New Roman" w:hAnsi="Times New Roman"/>
          <w:sz w:val="28"/>
          <w:szCs w:val="28"/>
          <w:lang w:eastAsia="uk-UA"/>
        </w:rPr>
        <w:t xml:space="preserve">(Додаток </w:t>
      </w:r>
      <w:r w:rsidR="00D364B5">
        <w:rPr>
          <w:rFonts w:ascii="Times New Roman" w:eastAsia="Times New Roman" w:hAnsi="Times New Roman"/>
          <w:sz w:val="28"/>
          <w:szCs w:val="28"/>
          <w:lang w:eastAsia="uk-UA"/>
        </w:rPr>
        <w:t>2</w:t>
      </w:r>
      <w:r w:rsidR="002720AB" w:rsidRPr="00EF1064">
        <w:rPr>
          <w:rFonts w:ascii="Times New Roman" w:eastAsia="Times New Roman" w:hAnsi="Times New Roman"/>
          <w:sz w:val="28"/>
          <w:szCs w:val="28"/>
          <w:lang w:eastAsia="uk-UA"/>
        </w:rPr>
        <w:t>).</w:t>
      </w:r>
    </w:p>
    <w:p w:rsidR="00832869" w:rsidRPr="00EF1064" w:rsidRDefault="00443BBC" w:rsidP="005F07E2">
      <w:pPr>
        <w:spacing w:after="0" w:line="240" w:lineRule="auto"/>
        <w:ind w:firstLine="709"/>
        <w:contextualSpacing/>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Водночас кількість фахівців психологічної служби в регіонах (без урахування АР Крим, м.  Севастополь, Донецької та Луганської областей) збільшилась на 206 осіб.</w:t>
      </w:r>
      <w:r w:rsidR="00D8388E" w:rsidRPr="00EF1064">
        <w:rPr>
          <w:rFonts w:ascii="Times New Roman" w:eastAsia="Times New Roman" w:hAnsi="Times New Roman"/>
          <w:sz w:val="28"/>
          <w:szCs w:val="28"/>
          <w:lang w:eastAsia="uk-UA"/>
        </w:rPr>
        <w:t xml:space="preserve"> З</w:t>
      </w:r>
      <w:r w:rsidRPr="00EF1064">
        <w:rPr>
          <w:rFonts w:ascii="Times New Roman" w:eastAsia="Times New Roman" w:hAnsi="Times New Roman"/>
          <w:sz w:val="28"/>
          <w:szCs w:val="28"/>
          <w:lang w:eastAsia="uk-UA"/>
        </w:rPr>
        <w:t xml:space="preserve">окрема, на Львівщини та Івано-Франківщині – зростання на 45 фахівців у кожній області, Закарпатті – на 33 фахівця, а також в Житомирській та Чернівецькій областях </w:t>
      </w:r>
      <w:r w:rsidR="00832869" w:rsidRPr="00EF1064">
        <w:rPr>
          <w:rFonts w:ascii="Times New Roman" w:eastAsia="Times New Roman" w:hAnsi="Times New Roman"/>
          <w:sz w:val="28"/>
          <w:szCs w:val="28"/>
          <w:lang w:eastAsia="uk-UA"/>
        </w:rPr>
        <w:t xml:space="preserve">на </w:t>
      </w:r>
      <w:r w:rsidRPr="00EF1064">
        <w:rPr>
          <w:rFonts w:ascii="Times New Roman" w:eastAsia="Times New Roman" w:hAnsi="Times New Roman"/>
          <w:sz w:val="28"/>
          <w:szCs w:val="28"/>
          <w:lang w:eastAsia="uk-UA"/>
        </w:rPr>
        <w:t xml:space="preserve">30 фахівців </w:t>
      </w:r>
      <w:r w:rsidR="00832869" w:rsidRPr="00EF1064">
        <w:rPr>
          <w:rFonts w:ascii="Times New Roman" w:eastAsia="Times New Roman" w:hAnsi="Times New Roman"/>
          <w:sz w:val="28"/>
          <w:szCs w:val="28"/>
          <w:lang w:eastAsia="uk-UA"/>
        </w:rPr>
        <w:t>відповідно.</w:t>
      </w:r>
    </w:p>
    <w:p w:rsidR="00D8388E" w:rsidRPr="00EF1064" w:rsidRDefault="00D8388E" w:rsidP="00D8388E">
      <w:pPr>
        <w:spacing w:after="0" w:line="240" w:lineRule="auto"/>
        <w:ind w:firstLine="709"/>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 xml:space="preserve">Найкраща ситуація щодо забезпечення </w:t>
      </w:r>
      <w:r w:rsidR="00D364B5">
        <w:rPr>
          <w:rFonts w:ascii="Times New Roman" w:eastAsia="Times New Roman" w:hAnsi="Times New Roman"/>
          <w:sz w:val="28"/>
          <w:szCs w:val="28"/>
          <w:lang w:eastAsia="uk-UA"/>
        </w:rPr>
        <w:t>в цілому фахівцями ( практичні психологи та соціальні педагоги) у</w:t>
      </w:r>
      <w:r w:rsidRPr="00EF1064">
        <w:rPr>
          <w:rFonts w:ascii="Times New Roman" w:eastAsia="Times New Roman" w:hAnsi="Times New Roman"/>
          <w:sz w:val="28"/>
          <w:szCs w:val="28"/>
          <w:lang w:eastAsia="uk-UA"/>
        </w:rPr>
        <w:t xml:space="preserve"> м. Києві (81,02%), Івано-Франківській (73,69%), Київській (66,79%), Сумській (66,3%) та Чернівецькій (65,92%) областях. </w:t>
      </w:r>
    </w:p>
    <w:p w:rsidR="00D8388E" w:rsidRPr="00EF1064" w:rsidRDefault="00D8388E" w:rsidP="00D8388E">
      <w:pPr>
        <w:spacing w:after="0" w:line="240" w:lineRule="auto"/>
        <w:ind w:firstLine="709"/>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Найнижчі показники у Тернопільській (36,56%), Житомирській (42,47%)</w:t>
      </w:r>
      <w:r w:rsidR="002276C6" w:rsidRPr="00EF1064">
        <w:rPr>
          <w:rFonts w:ascii="Times New Roman" w:eastAsia="Times New Roman" w:hAnsi="Times New Roman"/>
          <w:sz w:val="28"/>
          <w:szCs w:val="28"/>
          <w:lang w:eastAsia="uk-UA"/>
        </w:rPr>
        <w:t>,</w:t>
      </w:r>
      <w:r w:rsidRPr="00EF1064">
        <w:rPr>
          <w:rFonts w:ascii="Times New Roman" w:eastAsia="Times New Roman" w:hAnsi="Times New Roman"/>
          <w:sz w:val="28"/>
          <w:szCs w:val="28"/>
          <w:lang w:eastAsia="uk-UA"/>
        </w:rPr>
        <w:t xml:space="preserve"> Миколаївській (43,68%) і Вінницькій (45,31%) областях. </w:t>
      </w:r>
    </w:p>
    <w:p w:rsidR="005F07E2" w:rsidRPr="00EF1064" w:rsidRDefault="005F07E2" w:rsidP="005F07E2">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Серед навчальних закладів</w:t>
      </w:r>
      <w:r w:rsidR="002276C6" w:rsidRPr="00EF1064">
        <w:rPr>
          <w:rFonts w:ascii="Times New Roman" w:eastAsia="Times New Roman" w:hAnsi="Times New Roman"/>
          <w:sz w:val="28"/>
          <w:szCs w:val="28"/>
          <w:lang w:eastAsia="uk-UA"/>
        </w:rPr>
        <w:t xml:space="preserve"> </w:t>
      </w:r>
      <w:r w:rsidRPr="00EF1064">
        <w:rPr>
          <w:rFonts w:ascii="Times New Roman" w:eastAsia="Times New Roman" w:hAnsi="Times New Roman"/>
          <w:sz w:val="28"/>
          <w:szCs w:val="28"/>
          <w:lang w:eastAsia="uk-UA"/>
        </w:rPr>
        <w:t xml:space="preserve">найкраще забезпечені практичними психологами спеціальні школи-інтернати – 97,88%, загальноосвітні навчальні заклади нового типу – 92,32%, та загальноосвітні навчальні заклади </w:t>
      </w:r>
      <w:r w:rsidR="00D364B5">
        <w:rPr>
          <w:rFonts w:ascii="Times New Roman" w:eastAsia="Times New Roman" w:hAnsi="Times New Roman"/>
          <w:sz w:val="28"/>
          <w:szCs w:val="28"/>
          <w:lang w:eastAsia="uk-UA"/>
        </w:rPr>
        <w:t>-</w:t>
      </w:r>
      <w:r w:rsidRPr="00EF1064">
        <w:rPr>
          <w:rFonts w:ascii="Times New Roman" w:eastAsia="Times New Roman" w:hAnsi="Times New Roman"/>
          <w:sz w:val="28"/>
          <w:szCs w:val="28"/>
          <w:lang w:eastAsia="uk-UA"/>
        </w:rPr>
        <w:t xml:space="preserve"> 77,97%.</w:t>
      </w:r>
    </w:p>
    <w:p w:rsidR="00D364B5" w:rsidRDefault="002A15C9" w:rsidP="005F07E2">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w:t>
      </w:r>
      <w:r w:rsidR="005F07E2" w:rsidRPr="00EF1064">
        <w:rPr>
          <w:rFonts w:ascii="Times New Roman" w:eastAsia="Times New Roman" w:hAnsi="Times New Roman"/>
          <w:sz w:val="28"/>
          <w:szCs w:val="28"/>
          <w:lang w:eastAsia="uk-UA"/>
        </w:rPr>
        <w:t>ошкільн</w:t>
      </w:r>
      <w:r>
        <w:rPr>
          <w:rFonts w:ascii="Times New Roman" w:eastAsia="Times New Roman" w:hAnsi="Times New Roman"/>
          <w:sz w:val="28"/>
          <w:szCs w:val="28"/>
          <w:lang w:eastAsia="uk-UA"/>
        </w:rPr>
        <w:t xml:space="preserve">і </w:t>
      </w:r>
      <w:r w:rsidR="005F07E2" w:rsidRPr="00EF1064">
        <w:rPr>
          <w:rFonts w:ascii="Times New Roman" w:eastAsia="Times New Roman" w:hAnsi="Times New Roman"/>
          <w:sz w:val="28"/>
          <w:szCs w:val="28"/>
          <w:lang w:eastAsia="uk-UA"/>
        </w:rPr>
        <w:t>навчальн</w:t>
      </w:r>
      <w:r>
        <w:rPr>
          <w:rFonts w:ascii="Times New Roman" w:eastAsia="Times New Roman" w:hAnsi="Times New Roman"/>
          <w:sz w:val="28"/>
          <w:szCs w:val="28"/>
          <w:lang w:eastAsia="uk-UA"/>
        </w:rPr>
        <w:t>і</w:t>
      </w:r>
      <w:r w:rsidR="005F07E2" w:rsidRPr="00EF1064">
        <w:rPr>
          <w:rFonts w:ascii="Times New Roman" w:eastAsia="Times New Roman" w:hAnsi="Times New Roman"/>
          <w:sz w:val="28"/>
          <w:szCs w:val="28"/>
          <w:lang w:eastAsia="uk-UA"/>
        </w:rPr>
        <w:t xml:space="preserve"> заклад</w:t>
      </w:r>
      <w:r w:rsidR="00D364B5">
        <w:rPr>
          <w:rFonts w:ascii="Times New Roman" w:eastAsia="Times New Roman" w:hAnsi="Times New Roman"/>
          <w:sz w:val="28"/>
          <w:szCs w:val="28"/>
          <w:lang w:eastAsia="uk-UA"/>
        </w:rPr>
        <w:t>и</w:t>
      </w:r>
      <w:r w:rsidR="005F07E2" w:rsidRPr="00EF1064">
        <w:rPr>
          <w:rFonts w:ascii="Times New Roman" w:eastAsia="Times New Roman" w:hAnsi="Times New Roman"/>
          <w:sz w:val="28"/>
          <w:szCs w:val="28"/>
          <w:lang w:eastAsia="uk-UA"/>
        </w:rPr>
        <w:t xml:space="preserve"> загального типу, які розташовані в містах, </w:t>
      </w:r>
      <w:r w:rsidR="00D364B5">
        <w:rPr>
          <w:rFonts w:ascii="Times New Roman" w:eastAsia="Times New Roman" w:hAnsi="Times New Roman"/>
          <w:sz w:val="28"/>
          <w:szCs w:val="28"/>
          <w:lang w:eastAsia="uk-UA"/>
        </w:rPr>
        <w:t xml:space="preserve">забезпечені психологами на </w:t>
      </w:r>
      <w:r w:rsidR="00D364B5" w:rsidRPr="00EF1064">
        <w:rPr>
          <w:rFonts w:ascii="Times New Roman" w:eastAsia="Times New Roman" w:hAnsi="Times New Roman"/>
          <w:sz w:val="28"/>
          <w:szCs w:val="28"/>
          <w:lang w:eastAsia="uk-UA"/>
        </w:rPr>
        <w:t>68,95%</w:t>
      </w:r>
      <w:r w:rsidR="00D364B5">
        <w:rPr>
          <w:rFonts w:ascii="Times New Roman" w:eastAsia="Times New Roman" w:hAnsi="Times New Roman"/>
          <w:sz w:val="28"/>
          <w:szCs w:val="28"/>
          <w:lang w:eastAsia="uk-UA"/>
        </w:rPr>
        <w:t xml:space="preserve">, а загального типу, які знаходяться в сільській місцевості на </w:t>
      </w:r>
      <w:r w:rsidR="005F07E2" w:rsidRPr="00EF1064">
        <w:rPr>
          <w:rFonts w:ascii="Times New Roman" w:eastAsia="Times New Roman" w:hAnsi="Times New Roman"/>
          <w:sz w:val="28"/>
          <w:szCs w:val="28"/>
          <w:lang w:eastAsia="uk-UA"/>
        </w:rPr>
        <w:t xml:space="preserve">12,12% </w:t>
      </w:r>
      <w:r w:rsidR="00D364B5">
        <w:rPr>
          <w:rFonts w:ascii="Times New Roman" w:eastAsia="Times New Roman" w:hAnsi="Times New Roman"/>
          <w:sz w:val="28"/>
          <w:szCs w:val="28"/>
          <w:lang w:eastAsia="uk-UA"/>
        </w:rPr>
        <w:t>.</w:t>
      </w:r>
    </w:p>
    <w:p w:rsidR="00D364B5" w:rsidRPr="00EF1064" w:rsidRDefault="00D364B5" w:rsidP="00D364B5">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ВНЗ І-ІІ рівнів акредитації забезпечені на 39,65%</w:t>
      </w:r>
      <w:r>
        <w:rPr>
          <w:rFonts w:ascii="Times New Roman" w:eastAsia="Times New Roman" w:hAnsi="Times New Roman"/>
          <w:sz w:val="28"/>
          <w:szCs w:val="28"/>
          <w:lang w:eastAsia="uk-UA"/>
        </w:rPr>
        <w:t xml:space="preserve"> практичними психологами.</w:t>
      </w:r>
    </w:p>
    <w:p w:rsidR="005F07E2" w:rsidRPr="00EF1064" w:rsidRDefault="00D364B5" w:rsidP="005F07E2">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Лише на </w:t>
      </w:r>
      <w:r w:rsidR="005F07E2" w:rsidRPr="00EF1064">
        <w:rPr>
          <w:rFonts w:ascii="Times New Roman" w:eastAsia="Times New Roman" w:hAnsi="Times New Roman"/>
          <w:sz w:val="28"/>
          <w:szCs w:val="28"/>
          <w:lang w:eastAsia="uk-UA"/>
        </w:rPr>
        <w:t xml:space="preserve">19,21% </w:t>
      </w:r>
      <w:r>
        <w:rPr>
          <w:rFonts w:ascii="Times New Roman" w:eastAsia="Times New Roman" w:hAnsi="Times New Roman"/>
          <w:sz w:val="28"/>
          <w:szCs w:val="28"/>
          <w:lang w:eastAsia="uk-UA"/>
        </w:rPr>
        <w:t>забезпечені психологами позашкільні навчальні заклади.</w:t>
      </w:r>
      <w:r w:rsidR="00B641D5">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Із </w:t>
      </w:r>
      <w:r>
        <w:rPr>
          <w:rFonts w:ascii="Times New Roman" w:eastAsia="Times New Roman" w:hAnsi="Times New Roman"/>
          <w:sz w:val="28"/>
          <w:szCs w:val="28"/>
          <w:lang w:eastAsia="uk-UA"/>
        </w:rPr>
        <w:lastRenderedPageBreak/>
        <w:t>них на</w:t>
      </w:r>
      <w:r w:rsidR="00B641D5">
        <w:rPr>
          <w:rFonts w:ascii="Times New Roman" w:eastAsia="Times New Roman" w:hAnsi="Times New Roman"/>
          <w:sz w:val="28"/>
          <w:szCs w:val="28"/>
          <w:lang w:eastAsia="uk-UA"/>
        </w:rPr>
        <w:t xml:space="preserve"> </w:t>
      </w:r>
      <w:r w:rsidR="005F07E2" w:rsidRPr="00EF1064">
        <w:rPr>
          <w:rFonts w:ascii="Times New Roman" w:eastAsia="Times New Roman" w:hAnsi="Times New Roman"/>
          <w:sz w:val="28"/>
          <w:szCs w:val="28"/>
          <w:lang w:eastAsia="uk-UA"/>
        </w:rPr>
        <w:t xml:space="preserve">20,45% </w:t>
      </w:r>
      <w:r w:rsidR="00B641D5">
        <w:rPr>
          <w:rFonts w:ascii="Times New Roman" w:eastAsia="Times New Roman" w:hAnsi="Times New Roman"/>
          <w:sz w:val="28"/>
          <w:szCs w:val="28"/>
          <w:lang w:eastAsia="uk-UA"/>
        </w:rPr>
        <w:t xml:space="preserve">міські і </w:t>
      </w:r>
      <w:r w:rsidR="00B641D5" w:rsidRPr="00EF1064">
        <w:rPr>
          <w:rFonts w:ascii="Times New Roman" w:eastAsia="Times New Roman" w:hAnsi="Times New Roman"/>
          <w:sz w:val="28"/>
          <w:szCs w:val="28"/>
          <w:lang w:eastAsia="uk-UA"/>
        </w:rPr>
        <w:t xml:space="preserve"> на 13,75%</w:t>
      </w:r>
      <w:r w:rsidR="00B641D5">
        <w:rPr>
          <w:rFonts w:ascii="Times New Roman" w:eastAsia="Times New Roman" w:hAnsi="Times New Roman"/>
          <w:sz w:val="28"/>
          <w:szCs w:val="28"/>
          <w:lang w:eastAsia="uk-UA"/>
        </w:rPr>
        <w:t xml:space="preserve">, які </w:t>
      </w:r>
      <w:r w:rsidR="005F07E2" w:rsidRPr="00EF1064">
        <w:rPr>
          <w:rFonts w:ascii="Times New Roman" w:eastAsia="Times New Roman" w:hAnsi="Times New Roman"/>
          <w:sz w:val="28"/>
          <w:szCs w:val="28"/>
          <w:lang w:eastAsia="uk-UA"/>
        </w:rPr>
        <w:t xml:space="preserve"> знаходяться в сільській місцевості </w:t>
      </w:r>
      <w:r w:rsidR="00B641D5">
        <w:rPr>
          <w:rFonts w:ascii="Times New Roman" w:eastAsia="Times New Roman" w:hAnsi="Times New Roman"/>
          <w:sz w:val="28"/>
          <w:szCs w:val="28"/>
          <w:lang w:eastAsia="uk-UA"/>
        </w:rPr>
        <w:t>.</w:t>
      </w:r>
    </w:p>
    <w:p w:rsidR="005F07E2" w:rsidRPr="00EF1064" w:rsidRDefault="005F07E2" w:rsidP="005F07E2">
      <w:pPr>
        <w:widowControl w:val="0"/>
        <w:tabs>
          <w:tab w:val="left" w:pos="916"/>
          <w:tab w:val="left" w:pos="1832"/>
          <w:tab w:val="left" w:pos="2748"/>
          <w:tab w:val="left" w:pos="3664"/>
          <w:tab w:val="left" w:pos="4580"/>
          <w:tab w:val="left" w:pos="5496"/>
          <w:tab w:val="left" w:pos="6412"/>
          <w:tab w:val="left" w:pos="7328"/>
          <w:tab w:val="left" w:pos="8244"/>
          <w:tab w:val="left" w:pos="954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 xml:space="preserve">Середній відсоток забезпеченості навчальних закладів соціальними педагогами по Україні становить 46,19%. </w:t>
      </w:r>
    </w:p>
    <w:p w:rsidR="005F07E2" w:rsidRPr="00EF1064" w:rsidRDefault="005F07E2" w:rsidP="005F07E2">
      <w:pPr>
        <w:widowControl w:val="0"/>
        <w:spacing w:after="0" w:line="240" w:lineRule="auto"/>
        <w:ind w:firstLine="709"/>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Серед  типів навчальних закладів найкращий показник мають спеціальні школи-інтернати – 68,34. Загальноосвітні навчальні заклади, які знаходяться в місті забезпечені на 65,55%, а сільські – на 36,99%, ПТНЗ – на 54,35% міські та на 35,00% сільські.</w:t>
      </w:r>
    </w:p>
    <w:p w:rsidR="005F07E2" w:rsidRPr="00EF1064" w:rsidRDefault="005F07E2" w:rsidP="005F07E2">
      <w:pPr>
        <w:spacing w:after="0" w:line="240" w:lineRule="auto"/>
        <w:ind w:firstLine="709"/>
        <w:jc w:val="both"/>
        <w:rPr>
          <w:rFonts w:ascii="Times New Roman" w:eastAsia="Times New Roman" w:hAnsi="Times New Roman"/>
          <w:sz w:val="28"/>
          <w:szCs w:val="28"/>
          <w:lang w:eastAsia="uk-UA"/>
        </w:rPr>
      </w:pPr>
      <w:r w:rsidRPr="00EF1064">
        <w:rPr>
          <w:rFonts w:ascii="Times New Roman" w:eastAsia="Times New Roman" w:hAnsi="Times New Roman"/>
          <w:sz w:val="28"/>
          <w:szCs w:val="28"/>
          <w:lang w:eastAsia="uk-UA"/>
        </w:rPr>
        <w:t>Найгірший стан справ із забезпечення соціальними педагогами у вищих навчальних закладах І-ІІ  рівнів акредитації: міські забезпечені на 9,92%, а ті що знаходяться в сільській місцевості на 5,00%.</w:t>
      </w:r>
    </w:p>
    <w:p w:rsidR="00D8388E" w:rsidRPr="00EF1064" w:rsidRDefault="00D8388E" w:rsidP="00D8388E">
      <w:pPr>
        <w:pStyle w:val="yiv8424960188msonormal"/>
        <w:spacing w:before="0" w:beforeAutospacing="0" w:after="0" w:afterAutospacing="0"/>
        <w:ind w:firstLine="709"/>
        <w:contextualSpacing/>
        <w:jc w:val="both"/>
        <w:rPr>
          <w:sz w:val="28"/>
          <w:szCs w:val="28"/>
        </w:rPr>
      </w:pPr>
      <w:r w:rsidRPr="00EF1064">
        <w:rPr>
          <w:sz w:val="28"/>
          <w:szCs w:val="28"/>
        </w:rPr>
        <w:t>Керівникам обласних, районних, міських управлінь освіти і науки у новому навчальному році необхідно вжити заходів щодо забезпечення навчальних закладів працівниками психологічної служби, в тому числі навчально-методичних кабінетів (центрів) психологічної служби системи освіти районного (міського) та обласного рівнів.</w:t>
      </w:r>
    </w:p>
    <w:p w:rsidR="005F07E2" w:rsidRPr="00EF1064" w:rsidRDefault="005F07E2" w:rsidP="005F07E2">
      <w:pPr>
        <w:widowControl w:val="0"/>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Головним викликом сьогодення для України є анексія </w:t>
      </w:r>
      <w:r w:rsidR="00D8388E" w:rsidRPr="00EF1064">
        <w:rPr>
          <w:rFonts w:ascii="Times New Roman" w:hAnsi="Times New Roman"/>
          <w:sz w:val="28"/>
          <w:szCs w:val="28"/>
        </w:rPr>
        <w:t xml:space="preserve">АР </w:t>
      </w:r>
      <w:r w:rsidRPr="00EF1064">
        <w:rPr>
          <w:rFonts w:ascii="Times New Roman" w:hAnsi="Times New Roman"/>
          <w:sz w:val="28"/>
          <w:szCs w:val="28"/>
        </w:rPr>
        <w:t>Крим</w:t>
      </w:r>
      <w:r w:rsidR="00D8388E" w:rsidRPr="00EF1064">
        <w:rPr>
          <w:rFonts w:ascii="Times New Roman" w:hAnsi="Times New Roman"/>
          <w:sz w:val="28"/>
          <w:szCs w:val="28"/>
        </w:rPr>
        <w:t xml:space="preserve"> та                      </w:t>
      </w:r>
      <w:r w:rsidRPr="00EF1064">
        <w:rPr>
          <w:rFonts w:ascii="Times New Roman" w:hAnsi="Times New Roman"/>
          <w:sz w:val="28"/>
          <w:szCs w:val="28"/>
        </w:rPr>
        <w:t xml:space="preserve"> </w:t>
      </w:r>
      <w:r w:rsidR="00D8388E" w:rsidRPr="00EF1064">
        <w:rPr>
          <w:rFonts w:ascii="Times New Roman" w:hAnsi="Times New Roman"/>
          <w:sz w:val="28"/>
          <w:szCs w:val="28"/>
        </w:rPr>
        <w:t xml:space="preserve">м. </w:t>
      </w:r>
      <w:r w:rsidRPr="00EF1064">
        <w:rPr>
          <w:rFonts w:ascii="Times New Roman" w:hAnsi="Times New Roman"/>
          <w:sz w:val="28"/>
          <w:szCs w:val="28"/>
        </w:rPr>
        <w:t>Севастополя, бойові дії на Сході країни. За даними Мінсоцполітики України станом на 06.07.2015 року кількість внутрішньо переміщених осіб становила 1 369 844. За оперативними даними МОН України -11,2 тис. учнів із зони АТО Донецької області навчаються на мирній території цієї області та 3,9 тис. учнів із зони АТО Луганської області змінили місце навчання в межах області. В той же час, до загальноосвітніх навчальних закладів інших регіонів країни зараховано майже 27 тис. учнів із Донецької та 15,7 тис. учнів з Луганської областей.</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З огляду на необхідність вживання невідкладних заходів щодо ефективної інтеграції вказаних категорій населення в нові умови проживання, навчання, перед працівниками психологічної служби системи освіти в 2015-2016 н.р. ставиться завдання забезпечення психологічного і соціального супроводу дітей, постраждалих внаслідок військових дій, а також їх батьків.</w:t>
      </w:r>
      <w:r w:rsidR="00D8388E" w:rsidRPr="00EF1064">
        <w:rPr>
          <w:rFonts w:ascii="Times New Roman" w:hAnsi="Times New Roman"/>
          <w:sz w:val="28"/>
          <w:szCs w:val="28"/>
        </w:rPr>
        <w:t xml:space="preserve"> </w:t>
      </w:r>
    </w:p>
    <w:p w:rsidR="005F07E2" w:rsidRPr="00EF1064" w:rsidRDefault="00F745C7" w:rsidP="00F745C7">
      <w:pPr>
        <w:tabs>
          <w:tab w:val="left" w:pos="9540"/>
        </w:tabs>
        <w:autoSpaceDE w:val="0"/>
        <w:autoSpaceDN w:val="0"/>
        <w:adjustRightInd w:val="0"/>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Радимо з цього питання використовувати  </w:t>
      </w:r>
      <w:r w:rsidR="005F07E2" w:rsidRPr="00EF1064">
        <w:rPr>
          <w:rFonts w:ascii="Times New Roman" w:hAnsi="Times New Roman"/>
          <w:sz w:val="28"/>
          <w:szCs w:val="28"/>
        </w:rPr>
        <w:t>програму освітньої діяльності  та спецкурс для курсів підвищення кваліфікації практичних психологів і соціальних педагогів з проблеми «Навички кризового консультування та розвиток психосоціальної стійкості до стресу у дітей» за заг. наук. редакцією В. Г. Панка (укладачі: С. О. Богданов, А. М. Гірник, О. В. Залеська, Н. П. Ломейко, Н. В. Лунченко, О.С. Нурєєва, О. В. Федорець)</w:t>
      </w:r>
      <w:r w:rsidRPr="00EF1064">
        <w:rPr>
          <w:rFonts w:ascii="Times New Roman" w:hAnsi="Times New Roman"/>
          <w:sz w:val="28"/>
          <w:szCs w:val="28"/>
        </w:rPr>
        <w:t>(л</w:t>
      </w:r>
      <w:r w:rsidR="005F07E2" w:rsidRPr="00EF1064">
        <w:rPr>
          <w:rFonts w:ascii="Times New Roman" w:hAnsi="Times New Roman"/>
          <w:sz w:val="28"/>
          <w:szCs w:val="28"/>
        </w:rPr>
        <w:t xml:space="preserve">ист МОН України від 09.06.2015р., </w:t>
      </w:r>
      <w:r w:rsidR="00616643">
        <w:rPr>
          <w:rFonts w:ascii="Times New Roman" w:hAnsi="Times New Roman"/>
          <w:sz w:val="28"/>
          <w:szCs w:val="28"/>
        </w:rPr>
        <w:t xml:space="preserve">            </w:t>
      </w:r>
      <w:r w:rsidR="005F07E2" w:rsidRPr="00EF1064">
        <w:rPr>
          <w:rFonts w:ascii="Times New Roman" w:hAnsi="Times New Roman"/>
          <w:sz w:val="28"/>
          <w:szCs w:val="28"/>
        </w:rPr>
        <w:t xml:space="preserve">№ 1/9–284 </w:t>
      </w:r>
      <w:r w:rsidRPr="00EF1064">
        <w:rPr>
          <w:rFonts w:ascii="Times New Roman" w:hAnsi="Times New Roman"/>
          <w:sz w:val="28"/>
          <w:szCs w:val="28"/>
        </w:rPr>
        <w:t xml:space="preserve">). </w:t>
      </w:r>
      <w:r w:rsidR="005F07E2" w:rsidRPr="00EF1064">
        <w:rPr>
          <w:rFonts w:ascii="Times New Roman" w:hAnsi="Times New Roman"/>
          <w:sz w:val="28"/>
          <w:szCs w:val="28"/>
        </w:rPr>
        <w:t xml:space="preserve">Матеріали розміщені у вільному доступі на сайті Міністерства в розділі «Позашкільна освіта, виховна робота» </w:t>
      </w:r>
      <w:hyperlink r:id="rId10" w:history="1">
        <w:r w:rsidR="005F07E2" w:rsidRPr="00EF1064">
          <w:rPr>
            <w:rStyle w:val="a6"/>
            <w:rFonts w:ascii="Times New Roman" w:hAnsi="Times New Roman"/>
            <w:sz w:val="28"/>
            <w:szCs w:val="28"/>
            <w:u w:val="none"/>
          </w:rPr>
          <w:t>http://old.mon.gov.ua/ua/activity/education/59/196/korinf19/</w:t>
        </w:r>
      </w:hyperlink>
      <w:r w:rsidR="005F07E2" w:rsidRPr="00EF1064">
        <w:rPr>
          <w:rFonts w:ascii="Times New Roman" w:hAnsi="Times New Roman"/>
          <w:sz w:val="28"/>
          <w:szCs w:val="28"/>
        </w:rPr>
        <w:t xml:space="preserve"> та на сайті Українського НМЦ практичної психології і соціальної роботи  (</w:t>
      </w:r>
      <w:hyperlink r:id="rId11" w:history="1">
        <w:r w:rsidR="005F07E2" w:rsidRPr="00EF1064">
          <w:rPr>
            <w:rStyle w:val="a6"/>
            <w:rFonts w:ascii="Times New Roman" w:hAnsi="Times New Roman"/>
            <w:sz w:val="28"/>
            <w:szCs w:val="28"/>
            <w:u w:val="none"/>
          </w:rPr>
          <w:t>www.psyua.com.ua</w:t>
        </w:r>
      </w:hyperlink>
      <w:r w:rsidR="005F07E2" w:rsidRPr="00EF1064">
        <w:rPr>
          <w:rFonts w:ascii="Times New Roman" w:hAnsi="Times New Roman"/>
          <w:sz w:val="28"/>
          <w:szCs w:val="28"/>
        </w:rPr>
        <w:t>).</w:t>
      </w:r>
    </w:p>
    <w:p w:rsidR="005F07E2" w:rsidRPr="00EF1064" w:rsidRDefault="005F07E2" w:rsidP="005F07E2">
      <w:pPr>
        <w:tabs>
          <w:tab w:val="left" w:pos="9000"/>
        </w:tabs>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Робота з дітьми, які постраждали внаслідок військових дій на Сході України та мають певний травматичний досвід вказує на необхідність підвищення психологічної культури всіх учасників навчально-виховного процесу в окремих питаннях. Практичним психологам у новому навчальному році рекомендовано запланувати заходи </w:t>
      </w:r>
      <w:r w:rsidR="00463266" w:rsidRPr="00EF1064">
        <w:rPr>
          <w:rFonts w:ascii="Times New Roman" w:hAnsi="Times New Roman"/>
          <w:sz w:val="28"/>
          <w:szCs w:val="28"/>
        </w:rPr>
        <w:t xml:space="preserve">щодо </w:t>
      </w:r>
      <w:r w:rsidRPr="00EF1064">
        <w:rPr>
          <w:rFonts w:ascii="Times New Roman" w:hAnsi="Times New Roman"/>
          <w:sz w:val="28"/>
          <w:szCs w:val="28"/>
        </w:rPr>
        <w:t xml:space="preserve">психологічної просвіти педагогічних працівників </w:t>
      </w:r>
      <w:r w:rsidR="00463266" w:rsidRPr="00EF1064">
        <w:rPr>
          <w:rFonts w:ascii="Times New Roman" w:hAnsi="Times New Roman"/>
          <w:sz w:val="28"/>
          <w:szCs w:val="28"/>
        </w:rPr>
        <w:t>та батьків</w:t>
      </w:r>
      <w:r w:rsidRPr="00EF1064">
        <w:rPr>
          <w:rFonts w:ascii="Times New Roman" w:hAnsi="Times New Roman"/>
          <w:sz w:val="28"/>
          <w:szCs w:val="28"/>
        </w:rPr>
        <w:t xml:space="preserve">, з питань «стрес», «криза», «травма та її прояви у психіці, поведінці дитини», «ресурс» тощо. Ефективними методами подолання стресу, психологічної травми є: релаксація, кероване фантазування, прогулянки на природі, малювання, </w:t>
      </w:r>
      <w:r w:rsidRPr="00EF1064">
        <w:rPr>
          <w:rFonts w:ascii="Times New Roman" w:hAnsi="Times New Roman"/>
          <w:sz w:val="28"/>
          <w:szCs w:val="28"/>
        </w:rPr>
        <w:lastRenderedPageBreak/>
        <w:t>ліплення (арт-терапія), гра з піском (сендплей), керована гра, театр (психодраматерапія), пропрацювання емоцій через виведення їх на рівень усвідомлення і зміна поведінки (когнітивно</w:t>
      </w:r>
      <w:r w:rsidR="00EF1064" w:rsidRPr="00EF1064">
        <w:rPr>
          <w:rFonts w:ascii="Times New Roman" w:hAnsi="Times New Roman"/>
          <w:sz w:val="28"/>
          <w:szCs w:val="28"/>
        </w:rPr>
        <w:t xml:space="preserve"> </w:t>
      </w:r>
      <w:r w:rsidRPr="00EF1064">
        <w:rPr>
          <w:rFonts w:ascii="Times New Roman" w:hAnsi="Times New Roman"/>
          <w:sz w:val="28"/>
          <w:szCs w:val="28"/>
        </w:rPr>
        <w:t>-</w:t>
      </w:r>
      <w:r w:rsidR="00EF1064" w:rsidRPr="00EF1064">
        <w:rPr>
          <w:rFonts w:ascii="Times New Roman" w:hAnsi="Times New Roman"/>
          <w:sz w:val="28"/>
          <w:szCs w:val="28"/>
        </w:rPr>
        <w:t xml:space="preserve"> </w:t>
      </w:r>
      <w:r w:rsidRPr="00EF1064">
        <w:rPr>
          <w:rFonts w:ascii="Times New Roman" w:hAnsi="Times New Roman"/>
          <w:sz w:val="28"/>
          <w:szCs w:val="28"/>
        </w:rPr>
        <w:t>біхевіоральна терапія) тощо. Одним з головних питань є формування відчуття у дитини і дорослого що він (вона) не один (одна) і навколо є безліч ресурсів, якими він (вона) може скористатися.</w:t>
      </w:r>
    </w:p>
    <w:p w:rsidR="00463266" w:rsidRPr="00EF1064" w:rsidRDefault="005F07E2" w:rsidP="00463266">
      <w:pPr>
        <w:widowControl w:val="0"/>
        <w:spacing w:after="0" w:line="240" w:lineRule="auto"/>
        <w:ind w:firstLine="709"/>
        <w:jc w:val="both"/>
        <w:rPr>
          <w:rFonts w:ascii="Times New Roman" w:hAnsi="Times New Roman"/>
          <w:sz w:val="28"/>
          <w:szCs w:val="28"/>
        </w:rPr>
      </w:pPr>
      <w:r w:rsidRPr="00EF1064">
        <w:rPr>
          <w:rFonts w:ascii="Times New Roman" w:hAnsi="Times New Roman"/>
          <w:sz w:val="28"/>
          <w:szCs w:val="28"/>
        </w:rPr>
        <w:t>Сучасні навчальні заклади мають Інтернет</w:t>
      </w:r>
      <w:r w:rsidR="00EF1720" w:rsidRPr="00EF1064">
        <w:rPr>
          <w:rFonts w:ascii="Times New Roman" w:hAnsi="Times New Roman"/>
          <w:sz w:val="28"/>
          <w:szCs w:val="28"/>
        </w:rPr>
        <w:t xml:space="preserve"> </w:t>
      </w:r>
      <w:r w:rsidRPr="00EF1064">
        <w:rPr>
          <w:rFonts w:ascii="Times New Roman" w:hAnsi="Times New Roman"/>
          <w:sz w:val="28"/>
          <w:szCs w:val="28"/>
        </w:rPr>
        <w:t>-</w:t>
      </w:r>
      <w:r w:rsidR="00EF1720" w:rsidRPr="00EF1064">
        <w:rPr>
          <w:rFonts w:ascii="Times New Roman" w:hAnsi="Times New Roman"/>
          <w:sz w:val="28"/>
          <w:szCs w:val="28"/>
        </w:rPr>
        <w:t xml:space="preserve"> </w:t>
      </w:r>
      <w:r w:rsidRPr="00EF1064">
        <w:rPr>
          <w:rFonts w:ascii="Times New Roman" w:hAnsi="Times New Roman"/>
          <w:sz w:val="28"/>
          <w:szCs w:val="28"/>
        </w:rPr>
        <w:t xml:space="preserve">сайти, які  стали ефективним засобом зв'язку з учнями та їх батьками. </w:t>
      </w:r>
      <w:r w:rsidR="00463266" w:rsidRPr="00EF1064">
        <w:rPr>
          <w:rFonts w:ascii="Times New Roman" w:hAnsi="Times New Roman"/>
          <w:sz w:val="28"/>
          <w:szCs w:val="28"/>
        </w:rPr>
        <w:t>З метою підвищення психологічної культури суб'єктів освітнього процесу в навчальних  закладах та у сім`ї радимо активно використовувати отримання інформації через Інтернет із застосуванням інтерактивних форм.</w:t>
      </w:r>
    </w:p>
    <w:p w:rsidR="005F07E2" w:rsidRPr="00EF1064" w:rsidRDefault="005F07E2" w:rsidP="005F07E2">
      <w:pPr>
        <w:widowControl w:val="0"/>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За допомогою Інтернету можливе отримання зворотного зв'язку </w:t>
      </w:r>
      <w:r w:rsidR="00463266" w:rsidRPr="00EF1064">
        <w:rPr>
          <w:rFonts w:ascii="Times New Roman" w:hAnsi="Times New Roman"/>
          <w:sz w:val="28"/>
          <w:szCs w:val="28"/>
        </w:rPr>
        <w:t xml:space="preserve">не лише від учнів, а </w:t>
      </w:r>
      <w:r w:rsidRPr="00EF1064">
        <w:rPr>
          <w:rFonts w:ascii="Times New Roman" w:hAnsi="Times New Roman"/>
          <w:sz w:val="28"/>
          <w:szCs w:val="28"/>
        </w:rPr>
        <w:t xml:space="preserve">від батьків учнів за допомогою розміщених на сайті </w:t>
      </w:r>
      <w:r w:rsidR="00463266" w:rsidRPr="00EF1064">
        <w:rPr>
          <w:rFonts w:ascii="Times New Roman" w:hAnsi="Times New Roman"/>
          <w:sz w:val="28"/>
          <w:szCs w:val="28"/>
        </w:rPr>
        <w:t>матеріалів, опитувальників.</w:t>
      </w:r>
      <w:r w:rsidRPr="00EF1064">
        <w:rPr>
          <w:rFonts w:ascii="Times New Roman" w:hAnsi="Times New Roman"/>
          <w:sz w:val="28"/>
          <w:szCs w:val="28"/>
        </w:rPr>
        <w:t xml:space="preserve"> Практично не використовується така форма роботи, як відповіді на запитання. Механізм реалізації цієї технології полягає в попередньому зборі проблемних питань і розміщенні на сайті відповідей на них практичного психолога. Доцільно створювати постійні рубрики за віковими інтересами: учні початкової школи, 5-6 класи, 7-8 класи, 9 клас, 10-11 класи, або рубрики за змістом: цікава психологія, вправи на розвиток психічних процесі, корисні поради, профорієнтація, психологічна безпека тощо. На сайтах загальноосвітніх навчальних закладів, що реалізовують напрями навчання (іноземна мова, математика й т.ін.) доцільно інформувати батьків про психологічні особливості навчання за вибраним напрямком. </w:t>
      </w:r>
    </w:p>
    <w:p w:rsidR="005F07E2" w:rsidRPr="00EF1064" w:rsidRDefault="005F07E2" w:rsidP="005F07E2">
      <w:pPr>
        <w:widowControl w:val="0"/>
        <w:spacing w:after="0" w:line="240" w:lineRule="auto"/>
        <w:ind w:firstLine="709"/>
        <w:jc w:val="both"/>
        <w:rPr>
          <w:rFonts w:ascii="Times New Roman" w:hAnsi="Times New Roman"/>
          <w:sz w:val="28"/>
          <w:szCs w:val="28"/>
        </w:rPr>
      </w:pPr>
      <w:r w:rsidRPr="00EF1064">
        <w:rPr>
          <w:rFonts w:ascii="Times New Roman" w:hAnsi="Times New Roman"/>
          <w:sz w:val="28"/>
          <w:szCs w:val="28"/>
        </w:rPr>
        <w:t>Практичному психологу необхідно володіти інформацією про існуючі інформаційні сайти установ і організацій з правової підтримки дітей і молоді, популярної психології для різних вікових груп тощо.</w:t>
      </w:r>
    </w:p>
    <w:p w:rsidR="00C85831" w:rsidRDefault="007B34FC"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В цілому по Україні показник кількості звернень до відповідних спеціалістів з</w:t>
      </w:r>
      <w:r w:rsidR="004733A3" w:rsidRPr="00EF1064">
        <w:rPr>
          <w:rFonts w:ascii="Times New Roman" w:hAnsi="Times New Roman"/>
          <w:sz w:val="28"/>
          <w:szCs w:val="28"/>
        </w:rPr>
        <w:t>більшується</w:t>
      </w:r>
      <w:r w:rsidRPr="00EF1064">
        <w:rPr>
          <w:rFonts w:ascii="Times New Roman" w:hAnsi="Times New Roman"/>
          <w:sz w:val="28"/>
          <w:szCs w:val="28"/>
        </w:rPr>
        <w:t xml:space="preserve">, що свідчить про </w:t>
      </w:r>
      <w:r w:rsidR="003B7CDC" w:rsidRPr="00EF1064">
        <w:rPr>
          <w:rFonts w:ascii="Times New Roman" w:hAnsi="Times New Roman"/>
          <w:sz w:val="28"/>
          <w:szCs w:val="28"/>
        </w:rPr>
        <w:t xml:space="preserve">зростання </w:t>
      </w:r>
      <w:r w:rsidR="004733A3" w:rsidRPr="00EF1064">
        <w:rPr>
          <w:rFonts w:ascii="Times New Roman" w:hAnsi="Times New Roman"/>
          <w:sz w:val="28"/>
          <w:szCs w:val="28"/>
        </w:rPr>
        <w:t xml:space="preserve">авторитету цієї освітньої галузі. </w:t>
      </w:r>
    </w:p>
    <w:p w:rsidR="00CA6A29"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Так, </w:t>
      </w:r>
      <w:r w:rsidR="00C85831">
        <w:rPr>
          <w:rFonts w:ascii="Times New Roman" w:hAnsi="Times New Roman"/>
          <w:sz w:val="28"/>
          <w:szCs w:val="28"/>
        </w:rPr>
        <w:t>впродовж</w:t>
      </w:r>
      <w:r w:rsidRPr="00EF1064">
        <w:rPr>
          <w:rFonts w:ascii="Times New Roman" w:hAnsi="Times New Roman"/>
          <w:sz w:val="28"/>
          <w:szCs w:val="28"/>
        </w:rPr>
        <w:t xml:space="preserve"> 2014/2015 навчального року </w:t>
      </w:r>
      <w:r w:rsidR="00CA6A29">
        <w:rPr>
          <w:rFonts w:ascii="Times New Roman" w:hAnsi="Times New Roman"/>
          <w:sz w:val="28"/>
          <w:szCs w:val="28"/>
        </w:rPr>
        <w:t xml:space="preserve">до </w:t>
      </w:r>
      <w:r w:rsidRPr="00EF1064">
        <w:rPr>
          <w:rFonts w:ascii="Times New Roman" w:hAnsi="Times New Roman"/>
          <w:sz w:val="28"/>
          <w:szCs w:val="28"/>
        </w:rPr>
        <w:t>працівник</w:t>
      </w:r>
      <w:r w:rsidR="00CA6A29">
        <w:rPr>
          <w:rFonts w:ascii="Times New Roman" w:hAnsi="Times New Roman"/>
          <w:sz w:val="28"/>
          <w:szCs w:val="28"/>
        </w:rPr>
        <w:t>ів</w:t>
      </w:r>
      <w:r w:rsidRPr="00EF1064">
        <w:rPr>
          <w:rFonts w:ascii="Times New Roman" w:hAnsi="Times New Roman"/>
          <w:sz w:val="28"/>
          <w:szCs w:val="28"/>
        </w:rPr>
        <w:t xml:space="preserve"> служби </w:t>
      </w:r>
      <w:r w:rsidR="00CA6A29">
        <w:rPr>
          <w:rFonts w:ascii="Times New Roman" w:hAnsi="Times New Roman"/>
          <w:sz w:val="28"/>
          <w:szCs w:val="28"/>
        </w:rPr>
        <w:t xml:space="preserve">надійшло </w:t>
      </w:r>
      <w:r w:rsidRPr="00EF1064">
        <w:rPr>
          <w:rFonts w:ascii="Times New Roman" w:hAnsi="Times New Roman"/>
          <w:sz w:val="28"/>
          <w:szCs w:val="28"/>
        </w:rPr>
        <w:t xml:space="preserve">1 538 837 звернень, що становить в середньому 7,8 звернення на 1 працівника на місяць. </w:t>
      </w:r>
      <w:r w:rsidR="00CA6A29">
        <w:rPr>
          <w:rFonts w:ascii="Times New Roman" w:hAnsi="Times New Roman"/>
          <w:sz w:val="28"/>
          <w:szCs w:val="28"/>
        </w:rPr>
        <w:t xml:space="preserve">Майже половина </w:t>
      </w:r>
      <w:r w:rsidR="00CA6A29" w:rsidRPr="00EF1064">
        <w:rPr>
          <w:rFonts w:ascii="Times New Roman" w:hAnsi="Times New Roman"/>
          <w:sz w:val="28"/>
          <w:szCs w:val="28"/>
        </w:rPr>
        <w:t>запитів</w:t>
      </w:r>
      <w:r w:rsidR="00CA6A29">
        <w:rPr>
          <w:rFonts w:ascii="Times New Roman" w:hAnsi="Times New Roman"/>
          <w:sz w:val="28"/>
          <w:szCs w:val="28"/>
        </w:rPr>
        <w:t xml:space="preserve"> (</w:t>
      </w:r>
      <w:r w:rsidRPr="00EF1064">
        <w:rPr>
          <w:rFonts w:ascii="Times New Roman" w:hAnsi="Times New Roman"/>
          <w:sz w:val="28"/>
          <w:szCs w:val="28"/>
        </w:rPr>
        <w:t>52,6%</w:t>
      </w:r>
      <w:r w:rsidR="00CA6A29">
        <w:rPr>
          <w:rFonts w:ascii="Times New Roman" w:hAnsi="Times New Roman"/>
          <w:sz w:val="28"/>
          <w:szCs w:val="28"/>
        </w:rPr>
        <w:t>) надійшло від дітей .</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Основними причинами звернення до практичних психологів з боку учнів стали: проблеми стосунків з однолітками (23,2%), проблеми організації дозвілля (13,7%), проблеми взаємовідносин з батьками (12,9%). Основними причинами звернення учнів до соціальних педагогів стали: проблеми взаємовідносин з батьками (22,7%), проблеми стосунків з однолітками (14,0%), проблеми жорстокого поводження в школі та сім</w:t>
      </w:r>
      <w:r w:rsidRPr="00EF1064">
        <w:rPr>
          <w:rFonts w:ascii="Times New Roman" w:hAnsi="Times New Roman"/>
          <w:sz w:val="28"/>
          <w:szCs w:val="28"/>
          <w:lang w:val="ru-RU"/>
        </w:rPr>
        <w:t>’</w:t>
      </w:r>
      <w:r w:rsidRPr="00EF1064">
        <w:rPr>
          <w:rFonts w:ascii="Times New Roman" w:hAnsi="Times New Roman"/>
          <w:sz w:val="28"/>
          <w:szCs w:val="28"/>
        </w:rPr>
        <w:t>ї (11,0%).</w:t>
      </w:r>
    </w:p>
    <w:p w:rsidR="005F07E2" w:rsidRPr="00EF1064" w:rsidRDefault="007B34FC"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Батьки зверталися до</w:t>
      </w:r>
      <w:r w:rsidR="005F07E2" w:rsidRPr="00EF1064">
        <w:rPr>
          <w:rFonts w:ascii="Times New Roman" w:hAnsi="Times New Roman"/>
          <w:sz w:val="28"/>
          <w:szCs w:val="28"/>
        </w:rPr>
        <w:t xml:space="preserve"> </w:t>
      </w:r>
      <w:r w:rsidRPr="00EF1064">
        <w:rPr>
          <w:rFonts w:ascii="Times New Roman" w:hAnsi="Times New Roman"/>
          <w:sz w:val="28"/>
          <w:szCs w:val="28"/>
        </w:rPr>
        <w:t xml:space="preserve">психологів </w:t>
      </w:r>
      <w:r w:rsidR="005F07E2" w:rsidRPr="00EF1064">
        <w:rPr>
          <w:rFonts w:ascii="Times New Roman" w:hAnsi="Times New Roman"/>
          <w:sz w:val="28"/>
          <w:szCs w:val="28"/>
        </w:rPr>
        <w:t xml:space="preserve">майже вдвічі менше, ніж </w:t>
      </w:r>
      <w:r w:rsidRPr="00EF1064">
        <w:rPr>
          <w:rFonts w:ascii="Times New Roman" w:hAnsi="Times New Roman"/>
          <w:sz w:val="28"/>
          <w:szCs w:val="28"/>
        </w:rPr>
        <w:t>учні. Серед питань що їх турбували:</w:t>
      </w:r>
      <w:r w:rsidR="005F07E2" w:rsidRPr="00EF1064">
        <w:rPr>
          <w:rFonts w:ascii="Times New Roman" w:hAnsi="Times New Roman"/>
          <w:sz w:val="28"/>
          <w:szCs w:val="28"/>
        </w:rPr>
        <w:t xml:space="preserve"> травматичні події (15,9%), труднощі адаптації дитини до НЗ (12,2%) та проблеми взаємовідносин у сім’ї та родині (12,1%). </w:t>
      </w:r>
      <w:r w:rsidRPr="00EF1064">
        <w:rPr>
          <w:rFonts w:ascii="Times New Roman" w:hAnsi="Times New Roman"/>
          <w:sz w:val="28"/>
          <w:szCs w:val="28"/>
        </w:rPr>
        <w:t xml:space="preserve">Батьки зверталися до </w:t>
      </w:r>
      <w:r w:rsidR="005F07E2" w:rsidRPr="00EF1064">
        <w:rPr>
          <w:rFonts w:ascii="Times New Roman" w:hAnsi="Times New Roman"/>
          <w:sz w:val="28"/>
          <w:szCs w:val="28"/>
        </w:rPr>
        <w:t xml:space="preserve">соціальних педагогів </w:t>
      </w:r>
      <w:r w:rsidRPr="00EF1064">
        <w:rPr>
          <w:rFonts w:ascii="Times New Roman" w:hAnsi="Times New Roman"/>
          <w:sz w:val="28"/>
          <w:szCs w:val="28"/>
        </w:rPr>
        <w:t xml:space="preserve">з питань </w:t>
      </w:r>
      <w:r w:rsidR="005F07E2" w:rsidRPr="00EF1064">
        <w:rPr>
          <w:rFonts w:ascii="Times New Roman" w:hAnsi="Times New Roman"/>
          <w:sz w:val="28"/>
          <w:szCs w:val="28"/>
        </w:rPr>
        <w:t>допомоги дітям та сім</w:t>
      </w:r>
      <w:r w:rsidR="005F07E2" w:rsidRPr="00EF1064">
        <w:rPr>
          <w:rFonts w:ascii="Times New Roman" w:hAnsi="Times New Roman"/>
          <w:sz w:val="28"/>
          <w:szCs w:val="28"/>
          <w:lang w:val="ru-RU"/>
        </w:rPr>
        <w:t>’</w:t>
      </w:r>
      <w:r w:rsidR="005F07E2" w:rsidRPr="00EF1064">
        <w:rPr>
          <w:rFonts w:ascii="Times New Roman" w:hAnsi="Times New Roman"/>
          <w:sz w:val="28"/>
          <w:szCs w:val="28"/>
        </w:rPr>
        <w:t>ям у СЖО (23,3%), проблем правового характеру (15,5%), проблем взаємовідносин у сім</w:t>
      </w:r>
      <w:r w:rsidR="005F07E2" w:rsidRPr="00EF1064">
        <w:rPr>
          <w:rFonts w:ascii="Times New Roman" w:hAnsi="Times New Roman"/>
          <w:sz w:val="28"/>
          <w:szCs w:val="28"/>
          <w:lang w:val="ru-RU"/>
        </w:rPr>
        <w:t>’</w:t>
      </w:r>
      <w:r w:rsidR="005F07E2" w:rsidRPr="00EF1064">
        <w:rPr>
          <w:rFonts w:ascii="Times New Roman" w:hAnsi="Times New Roman"/>
          <w:sz w:val="28"/>
          <w:szCs w:val="28"/>
        </w:rPr>
        <w:t>ї та родині (15,3%).</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З боку педагогів до працівників соціально-психологічної служби було 18,1% запитів. При цьому до практичних психологів – 66,1%, до соціальних педагогів – 33,9%. Основними причинами звернень педагогів до практичних психологів </w:t>
      </w:r>
      <w:r w:rsidR="007B34FC" w:rsidRPr="00EF1064">
        <w:rPr>
          <w:rFonts w:ascii="Times New Roman" w:hAnsi="Times New Roman"/>
          <w:sz w:val="28"/>
          <w:szCs w:val="28"/>
        </w:rPr>
        <w:t>є</w:t>
      </w:r>
      <w:r w:rsidRPr="00EF1064">
        <w:rPr>
          <w:rFonts w:ascii="Times New Roman" w:hAnsi="Times New Roman"/>
          <w:sz w:val="28"/>
          <w:szCs w:val="28"/>
        </w:rPr>
        <w:t>: робота з сім</w:t>
      </w:r>
      <w:r w:rsidRPr="00EF1064">
        <w:rPr>
          <w:rFonts w:ascii="Times New Roman" w:hAnsi="Times New Roman"/>
          <w:sz w:val="28"/>
          <w:szCs w:val="28"/>
          <w:lang w:val="ru-RU"/>
        </w:rPr>
        <w:t>’</w:t>
      </w:r>
      <w:r w:rsidRPr="00EF1064">
        <w:rPr>
          <w:rFonts w:ascii="Times New Roman" w:hAnsi="Times New Roman"/>
          <w:sz w:val="28"/>
          <w:szCs w:val="28"/>
        </w:rPr>
        <w:t xml:space="preserve">ями вимушених переселенців (33,7%), проблеми взаємовідносин у </w:t>
      </w:r>
      <w:r w:rsidRPr="00EF1064">
        <w:rPr>
          <w:rFonts w:ascii="Times New Roman" w:hAnsi="Times New Roman"/>
          <w:sz w:val="28"/>
          <w:szCs w:val="28"/>
        </w:rPr>
        <w:lastRenderedPageBreak/>
        <w:t xml:space="preserve">дитячому колективі (17,5%) та технології вирішення конфліктних ситуацій (15,9%). Основними проблемами звернень педагогів до соціальних педагогів </w:t>
      </w:r>
      <w:r w:rsidR="007B34FC" w:rsidRPr="00EF1064">
        <w:rPr>
          <w:rFonts w:ascii="Times New Roman" w:hAnsi="Times New Roman"/>
          <w:sz w:val="28"/>
          <w:szCs w:val="28"/>
        </w:rPr>
        <w:t>-</w:t>
      </w:r>
      <w:r w:rsidRPr="00EF1064">
        <w:rPr>
          <w:rFonts w:ascii="Times New Roman" w:hAnsi="Times New Roman"/>
          <w:sz w:val="28"/>
          <w:szCs w:val="28"/>
        </w:rPr>
        <w:t xml:space="preserve"> профілактика деліквентної поведінки учнів (23,6%), профілактика девіантної поведінки учнів (22,6%) та технологія організації безпечного життєвого простору (10,8%).</w:t>
      </w:r>
    </w:p>
    <w:p w:rsidR="005F07E2" w:rsidRPr="00EF1064" w:rsidRDefault="007B34FC" w:rsidP="005F07E2">
      <w:pPr>
        <w:tabs>
          <w:tab w:val="left" w:pos="9000"/>
        </w:tabs>
        <w:spacing w:after="0" w:line="240" w:lineRule="auto"/>
        <w:ind w:firstLine="709"/>
        <w:jc w:val="both"/>
        <w:rPr>
          <w:rFonts w:ascii="Times New Roman" w:hAnsi="Times New Roman"/>
          <w:sz w:val="28"/>
          <w:szCs w:val="28"/>
        </w:rPr>
      </w:pPr>
      <w:r w:rsidRPr="00EF1064">
        <w:rPr>
          <w:rFonts w:ascii="Times New Roman" w:hAnsi="Times New Roman"/>
          <w:sz w:val="28"/>
          <w:szCs w:val="28"/>
        </w:rPr>
        <w:t>Зосереджуємо увагу на тому, що п</w:t>
      </w:r>
      <w:r w:rsidR="005F07E2" w:rsidRPr="00EF1064">
        <w:rPr>
          <w:rFonts w:ascii="Times New Roman" w:hAnsi="Times New Roman"/>
          <w:sz w:val="28"/>
          <w:szCs w:val="28"/>
        </w:rPr>
        <w:t>рацівникам психологічної служби необхідно приділити особливу увагу вивченню індивідуальних особливостей дітей з особливими освітніми потребами, розробці алгоритму взаємодії педагогічних працівників як у межах навчального закладу, так і поза його межами щодо забезпечення потреб вихованців та учнів. Інтеграція таких дітей в навчально-виховний процес можлива виключно за умови їх належного психолого-педагогічного супроводу. Актуальним залишається і питання психологічної підготовки педагогів до роботи з вказаною категорією дітей.</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Вирішення складних проблем виховання сучасної молоді робить необхідним організацію діяльності фахівців психологічної служби на основі мульт</w:t>
      </w:r>
      <w:r w:rsidR="00B654BA" w:rsidRPr="00EF1064">
        <w:rPr>
          <w:rFonts w:ascii="Times New Roman" w:hAnsi="Times New Roman"/>
          <w:sz w:val="28"/>
          <w:szCs w:val="28"/>
        </w:rPr>
        <w:t>и</w:t>
      </w:r>
      <w:r w:rsidRPr="00EF1064">
        <w:rPr>
          <w:rFonts w:ascii="Times New Roman" w:hAnsi="Times New Roman"/>
          <w:sz w:val="28"/>
          <w:szCs w:val="28"/>
        </w:rPr>
        <w:t xml:space="preserve">дисциплінарного </w:t>
      </w:r>
      <w:r w:rsidR="000C2E35" w:rsidRPr="00EF1064">
        <w:rPr>
          <w:rFonts w:ascii="Times New Roman" w:hAnsi="Times New Roman"/>
          <w:sz w:val="28"/>
          <w:szCs w:val="28"/>
        </w:rPr>
        <w:t xml:space="preserve"> </w:t>
      </w:r>
      <w:r w:rsidRPr="00EF1064">
        <w:rPr>
          <w:rFonts w:ascii="Times New Roman" w:hAnsi="Times New Roman"/>
          <w:sz w:val="28"/>
          <w:szCs w:val="28"/>
        </w:rPr>
        <w:t xml:space="preserve">підходу, в рамках якого спеціалісти з різних служб, відомств, установ обмінюються інформацією і створюють найкращі умови для розвитку дитини, вирішення її потреб. При планування діяльності рекомендуємо врахувати </w:t>
      </w:r>
      <w:r w:rsidR="004733A3" w:rsidRPr="00EF1064">
        <w:rPr>
          <w:rFonts w:ascii="Times New Roman" w:hAnsi="Times New Roman"/>
          <w:sz w:val="28"/>
          <w:szCs w:val="28"/>
        </w:rPr>
        <w:t xml:space="preserve">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 в яких детально наведений порядок такої взаємодії, основні функції кожної служби (лист </w:t>
      </w:r>
      <w:r w:rsidRPr="00EF1064">
        <w:rPr>
          <w:rFonts w:ascii="Times New Roman" w:hAnsi="Times New Roman"/>
          <w:sz w:val="28"/>
          <w:szCs w:val="28"/>
        </w:rPr>
        <w:t>МОН України від 28.10.2014р., №1/9-557</w:t>
      </w:r>
      <w:r w:rsidR="004733A3" w:rsidRPr="00EF1064">
        <w:rPr>
          <w:rFonts w:ascii="Times New Roman" w:hAnsi="Times New Roman"/>
          <w:sz w:val="28"/>
          <w:szCs w:val="28"/>
        </w:rPr>
        <w:t>).</w:t>
      </w:r>
      <w:r w:rsidRPr="00EF1064">
        <w:rPr>
          <w:rFonts w:ascii="Times New Roman" w:hAnsi="Times New Roman"/>
          <w:sz w:val="28"/>
          <w:szCs w:val="28"/>
        </w:rPr>
        <w:t xml:space="preserve">   </w:t>
      </w:r>
    </w:p>
    <w:p w:rsidR="005F07E2" w:rsidRPr="00EF1064" w:rsidRDefault="005F07E2" w:rsidP="005F07E2">
      <w:pPr>
        <w:spacing w:after="0" w:line="240" w:lineRule="auto"/>
        <w:ind w:firstLine="709"/>
        <w:jc w:val="both"/>
        <w:rPr>
          <w:rFonts w:ascii="Times New Roman" w:eastAsia="Times New Roman" w:hAnsi="Times New Roman"/>
          <w:snapToGrid w:val="0"/>
          <w:sz w:val="28"/>
          <w:szCs w:val="28"/>
          <w:lang w:eastAsia="ru-RU"/>
        </w:rPr>
      </w:pPr>
      <w:r w:rsidRPr="00EF1064">
        <w:rPr>
          <w:rFonts w:ascii="Times New Roman" w:hAnsi="Times New Roman"/>
          <w:sz w:val="28"/>
          <w:szCs w:val="28"/>
        </w:rPr>
        <w:t>Одним з напрямів діяльності керівників психологічних служб є недопущення представників громадських організацій, псевдорелігійних течій у навчальні заклади з метою проведення досліджень, лекцій, тренінгів без відповідної психологічної експертизи</w:t>
      </w:r>
      <w:r w:rsidR="004733A3" w:rsidRPr="00EF1064">
        <w:rPr>
          <w:rFonts w:ascii="Times New Roman" w:hAnsi="Times New Roman"/>
          <w:sz w:val="28"/>
          <w:szCs w:val="28"/>
        </w:rPr>
        <w:t xml:space="preserve"> матеріалів які вони застосовують. </w:t>
      </w:r>
      <w:r w:rsidRPr="00EF1064">
        <w:rPr>
          <w:rFonts w:ascii="Times New Roman" w:eastAsia="Times New Roman" w:hAnsi="Times New Roman"/>
          <w:snapToGrid w:val="0"/>
          <w:sz w:val="28"/>
          <w:szCs w:val="28"/>
          <w:lang w:eastAsia="ru-RU"/>
        </w:rPr>
        <w:t xml:space="preserve">Звертаємо увагу керівників </w:t>
      </w:r>
      <w:r w:rsidR="004733A3" w:rsidRPr="00EF1064">
        <w:rPr>
          <w:rFonts w:ascii="Times New Roman" w:eastAsia="Times New Roman" w:hAnsi="Times New Roman"/>
          <w:snapToGrid w:val="0"/>
          <w:sz w:val="28"/>
          <w:szCs w:val="28"/>
          <w:lang w:eastAsia="ru-RU"/>
        </w:rPr>
        <w:t>органів управління освіти і науки, навчальних закладів н</w:t>
      </w:r>
      <w:r w:rsidRPr="00EF1064">
        <w:rPr>
          <w:rFonts w:ascii="Times New Roman" w:eastAsia="Times New Roman" w:hAnsi="Times New Roman"/>
          <w:snapToGrid w:val="0"/>
          <w:sz w:val="28"/>
          <w:szCs w:val="28"/>
          <w:lang w:eastAsia="ru-RU"/>
        </w:rPr>
        <w:t xml:space="preserve">а дотримання в роботі відповідними спеціалістами наказу Міністерства освіти і науки України </w:t>
      </w:r>
      <w:r w:rsidRPr="00EF1064">
        <w:rPr>
          <w:rFonts w:ascii="Times New Roman" w:eastAsia="Times New Roman" w:hAnsi="Times New Roman"/>
          <w:sz w:val="28"/>
          <w:szCs w:val="28"/>
          <w:lang w:eastAsia="ru-RU"/>
        </w:rPr>
        <w:t>«Про затвердження Положення про експертизу психологічного і соціологічного інструментарію, що застосовується в навчальних закладах Міністерства освіти і науки України»</w:t>
      </w:r>
      <w:r w:rsidRPr="00EF1064">
        <w:rPr>
          <w:rFonts w:ascii="Times New Roman" w:eastAsia="Times New Roman" w:hAnsi="Times New Roman"/>
          <w:snapToGrid w:val="0"/>
          <w:sz w:val="28"/>
          <w:szCs w:val="28"/>
          <w:lang w:eastAsia="ru-RU"/>
        </w:rPr>
        <w:t xml:space="preserve"> від 2</w:t>
      </w:r>
      <w:r w:rsidRPr="00EF1064">
        <w:rPr>
          <w:rFonts w:ascii="Times New Roman" w:eastAsia="Times New Roman" w:hAnsi="Times New Roman"/>
          <w:sz w:val="28"/>
          <w:szCs w:val="28"/>
          <w:lang w:eastAsia="ru-RU"/>
        </w:rPr>
        <w:t>0.04.01</w:t>
      </w:r>
      <w:bookmarkStart w:id="2" w:name="наказ_330"/>
      <w:r w:rsidRPr="00EF1064">
        <w:rPr>
          <w:rFonts w:ascii="Times New Roman" w:eastAsia="Times New Roman" w:hAnsi="Times New Roman"/>
          <w:sz w:val="28"/>
          <w:szCs w:val="28"/>
          <w:lang w:eastAsia="ru-RU"/>
        </w:rPr>
        <w:t>р. № 330</w:t>
      </w:r>
      <w:bookmarkEnd w:id="2"/>
      <w:r w:rsidRPr="00EF1064">
        <w:rPr>
          <w:rFonts w:ascii="Times New Roman" w:eastAsia="Times New Roman" w:hAnsi="Times New Roman"/>
          <w:sz w:val="28"/>
          <w:szCs w:val="28"/>
          <w:lang w:eastAsia="ru-RU"/>
        </w:rPr>
        <w:t>. Д</w:t>
      </w:r>
      <w:r w:rsidRPr="00EF1064">
        <w:rPr>
          <w:rFonts w:ascii="Times New Roman" w:eastAsia="Times New Roman" w:hAnsi="Times New Roman"/>
          <w:snapToGrid w:val="0"/>
          <w:sz w:val="28"/>
          <w:szCs w:val="28"/>
          <w:lang w:eastAsia="ru-RU"/>
        </w:rPr>
        <w:t xml:space="preserve">о складу експертних комісій залучати виключно висококваліфікованих фахівців з базовою вищою освітою (за спеціальністю: «Психолог», «Практичний психолог») та кваліфікаційною категорією «спеціаліст вищої категорії», педагогічним званням «Психолог-методист». </w:t>
      </w:r>
    </w:p>
    <w:p w:rsidR="005F07E2" w:rsidRPr="00EF1064" w:rsidRDefault="005F07E2" w:rsidP="005F07E2">
      <w:pPr>
        <w:spacing w:after="0" w:line="240" w:lineRule="auto"/>
        <w:ind w:firstLine="709"/>
        <w:jc w:val="both"/>
        <w:rPr>
          <w:rFonts w:ascii="Times New Roman" w:hAnsi="Times New Roman"/>
          <w:bCs/>
          <w:sz w:val="28"/>
          <w:szCs w:val="28"/>
        </w:rPr>
      </w:pPr>
      <w:r w:rsidRPr="00EF1064">
        <w:rPr>
          <w:rFonts w:ascii="Times New Roman" w:hAnsi="Times New Roman"/>
          <w:bCs/>
          <w:sz w:val="28"/>
          <w:szCs w:val="28"/>
        </w:rPr>
        <w:t>Питання профілактики і превенції протиправної, агресивної, жорстокої, насильницької поведінки серед школярів набуло нової актуальності у зв’язку з подіями на Сході У</w:t>
      </w:r>
      <w:r w:rsidR="00B2239C" w:rsidRPr="00EF1064">
        <w:rPr>
          <w:rFonts w:ascii="Times New Roman" w:hAnsi="Times New Roman"/>
          <w:bCs/>
          <w:sz w:val="28"/>
          <w:szCs w:val="28"/>
        </w:rPr>
        <w:t>к</w:t>
      </w:r>
      <w:r w:rsidRPr="00EF1064">
        <w:rPr>
          <w:rFonts w:ascii="Times New Roman" w:hAnsi="Times New Roman"/>
          <w:bCs/>
          <w:sz w:val="28"/>
          <w:szCs w:val="28"/>
        </w:rPr>
        <w:t>раїни, популяризацію асоціальної поведінки через ЗМІ, економічним розшаруванням</w:t>
      </w:r>
      <w:r w:rsidR="00B2239C" w:rsidRPr="00EF1064">
        <w:rPr>
          <w:rFonts w:ascii="Times New Roman" w:hAnsi="Times New Roman"/>
          <w:bCs/>
          <w:sz w:val="28"/>
          <w:szCs w:val="28"/>
        </w:rPr>
        <w:t xml:space="preserve"> </w:t>
      </w:r>
      <w:r w:rsidRPr="00EF1064">
        <w:rPr>
          <w:rFonts w:ascii="Times New Roman" w:hAnsi="Times New Roman"/>
          <w:bCs/>
          <w:sz w:val="28"/>
          <w:szCs w:val="28"/>
        </w:rPr>
        <w:t xml:space="preserve"> </w:t>
      </w:r>
      <w:r w:rsidR="00B2239C" w:rsidRPr="00EF1064">
        <w:rPr>
          <w:rFonts w:ascii="Times New Roman" w:hAnsi="Times New Roman"/>
          <w:bCs/>
          <w:sz w:val="28"/>
          <w:szCs w:val="28"/>
        </w:rPr>
        <w:t>населення.</w:t>
      </w:r>
    </w:p>
    <w:p w:rsidR="00962CFB" w:rsidRDefault="005F07E2" w:rsidP="005F07E2">
      <w:pPr>
        <w:spacing w:after="0" w:line="240" w:lineRule="auto"/>
        <w:ind w:firstLine="709"/>
        <w:jc w:val="both"/>
        <w:rPr>
          <w:rFonts w:ascii="Times New Roman" w:hAnsi="Times New Roman"/>
          <w:bCs/>
          <w:sz w:val="28"/>
          <w:szCs w:val="28"/>
        </w:rPr>
      </w:pPr>
      <w:r w:rsidRPr="00EF1064">
        <w:rPr>
          <w:rFonts w:ascii="Times New Roman" w:hAnsi="Times New Roman"/>
          <w:bCs/>
          <w:sz w:val="28"/>
          <w:szCs w:val="28"/>
        </w:rPr>
        <w:t xml:space="preserve">Завуальовані прояві ксенофобії і сегрегації, мова ворожнечі все частіше проявляється серед підлітків, в навчальних закладах, в соціальних мережах; через відмінності </w:t>
      </w:r>
      <w:r w:rsidR="00B2239C" w:rsidRPr="00EF1064">
        <w:rPr>
          <w:rFonts w:ascii="Times New Roman" w:hAnsi="Times New Roman"/>
          <w:bCs/>
          <w:sz w:val="28"/>
          <w:szCs w:val="28"/>
        </w:rPr>
        <w:t>в поглядах</w:t>
      </w:r>
      <w:r w:rsidRPr="00EF1064">
        <w:rPr>
          <w:rFonts w:ascii="Times New Roman" w:hAnsi="Times New Roman"/>
          <w:bCs/>
          <w:sz w:val="28"/>
          <w:szCs w:val="28"/>
        </w:rPr>
        <w:t xml:space="preserve">, упередженості серед дітей виникають конфлікти які призводять до серйозних правопорушень чи </w:t>
      </w:r>
      <w:r w:rsidR="00B2239C" w:rsidRPr="00EF1064">
        <w:rPr>
          <w:rFonts w:ascii="Times New Roman" w:hAnsi="Times New Roman"/>
          <w:bCs/>
          <w:sz w:val="28"/>
          <w:szCs w:val="28"/>
        </w:rPr>
        <w:t xml:space="preserve">злочинів та </w:t>
      </w:r>
      <w:r w:rsidRPr="00EF1064">
        <w:rPr>
          <w:rFonts w:ascii="Times New Roman" w:hAnsi="Times New Roman"/>
          <w:bCs/>
          <w:sz w:val="28"/>
          <w:szCs w:val="28"/>
        </w:rPr>
        <w:t xml:space="preserve">формування захисної агресивної реакції у дітей, переміщених із зони АТО. Таким чином виникає ефект «замкненого кола», коли агресія і ненависть породжують відповідну агресію. </w:t>
      </w:r>
    </w:p>
    <w:p w:rsidR="00BE2FD3" w:rsidRDefault="00132375" w:rsidP="00132375">
      <w:pPr>
        <w:spacing w:after="0" w:line="240" w:lineRule="auto"/>
        <w:ind w:firstLine="709"/>
        <w:jc w:val="both"/>
        <w:rPr>
          <w:rFonts w:ascii="Times New Roman" w:hAnsi="Times New Roman"/>
          <w:sz w:val="28"/>
          <w:szCs w:val="28"/>
        </w:rPr>
      </w:pPr>
      <w:r w:rsidRPr="00EF1064">
        <w:rPr>
          <w:rFonts w:ascii="Times New Roman" w:hAnsi="Times New Roman"/>
          <w:sz w:val="28"/>
          <w:szCs w:val="28"/>
        </w:rPr>
        <w:lastRenderedPageBreak/>
        <w:t>Важливою умовою збереження психологічного здоров'я є наявність позитивних міжособистісних відносин, сприятливий психологічний клімат, розвиток  позитивного досвіду і здібностей школярів</w:t>
      </w:r>
      <w:r w:rsidR="00BE2FD3">
        <w:rPr>
          <w:rFonts w:ascii="Times New Roman" w:hAnsi="Times New Roman"/>
          <w:sz w:val="28"/>
          <w:szCs w:val="28"/>
        </w:rPr>
        <w:t>.</w:t>
      </w:r>
    </w:p>
    <w:p w:rsidR="005F07E2" w:rsidRPr="00EF1064" w:rsidRDefault="005F07E2" w:rsidP="00962CFB">
      <w:pPr>
        <w:spacing w:after="0" w:line="240" w:lineRule="auto"/>
        <w:ind w:firstLine="709"/>
        <w:jc w:val="both"/>
        <w:rPr>
          <w:rFonts w:ascii="Times New Roman" w:hAnsi="Times New Roman"/>
          <w:sz w:val="28"/>
          <w:szCs w:val="28"/>
        </w:rPr>
      </w:pPr>
      <w:r w:rsidRPr="00EF1064">
        <w:rPr>
          <w:rFonts w:ascii="Times New Roman" w:hAnsi="Times New Roman"/>
          <w:bCs/>
          <w:sz w:val="28"/>
          <w:szCs w:val="28"/>
        </w:rPr>
        <w:t>МОН України рекомендує</w:t>
      </w:r>
      <w:r w:rsidR="00962CFB" w:rsidRPr="00EF1064">
        <w:rPr>
          <w:rFonts w:ascii="Times New Roman" w:hAnsi="Times New Roman"/>
          <w:bCs/>
          <w:sz w:val="28"/>
          <w:szCs w:val="28"/>
        </w:rPr>
        <w:t>:</w:t>
      </w:r>
      <w:r w:rsidRPr="00EF1064">
        <w:rPr>
          <w:rFonts w:ascii="Times New Roman" w:hAnsi="Times New Roman"/>
          <w:bCs/>
          <w:sz w:val="28"/>
          <w:szCs w:val="28"/>
        </w:rPr>
        <w:t xml:space="preserve"> керівникам психологічних служб вжити організаційних і методичних заходів щодо підтримки діяльності існуючих шкільних служб порозуміння та розбудови мережі таких служб на базі навчальних закладів де вони відсутні і досі</w:t>
      </w:r>
      <w:r w:rsidR="00962CFB" w:rsidRPr="00EF1064">
        <w:rPr>
          <w:rFonts w:ascii="Times New Roman" w:hAnsi="Times New Roman"/>
          <w:bCs/>
          <w:sz w:val="28"/>
          <w:szCs w:val="28"/>
        </w:rPr>
        <w:t xml:space="preserve">; </w:t>
      </w:r>
      <w:r w:rsidRPr="00EF1064">
        <w:rPr>
          <w:rFonts w:ascii="Times New Roman" w:hAnsi="Times New Roman"/>
          <w:sz w:val="28"/>
          <w:szCs w:val="28"/>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r w:rsidR="00E5729D">
        <w:rPr>
          <w:rFonts w:ascii="Times New Roman" w:hAnsi="Times New Roman"/>
          <w:sz w:val="28"/>
          <w:szCs w:val="28"/>
        </w:rPr>
        <w:t xml:space="preserve"> </w:t>
      </w:r>
      <w:r w:rsidRPr="00EF1064">
        <w:rPr>
          <w:rFonts w:ascii="Times New Roman" w:hAnsi="Times New Roman"/>
          <w:sz w:val="28"/>
          <w:szCs w:val="28"/>
        </w:rPr>
        <w:t xml:space="preserve">провести інформаційно-просвітницьку роботу з батьками та законними представниками дітей, схильних до протиправної поведінки, </w:t>
      </w:r>
      <w:r w:rsidR="00962CFB" w:rsidRPr="00EF1064">
        <w:rPr>
          <w:rFonts w:ascii="Times New Roman" w:hAnsi="Times New Roman"/>
          <w:sz w:val="28"/>
          <w:szCs w:val="28"/>
        </w:rPr>
        <w:t xml:space="preserve"> </w:t>
      </w:r>
      <w:r w:rsidRPr="00EF1064">
        <w:rPr>
          <w:rFonts w:ascii="Times New Roman" w:hAnsi="Times New Roman"/>
          <w:sz w:val="28"/>
          <w:szCs w:val="28"/>
        </w:rPr>
        <w:t>налагодити міжвідомчу взаємодію з підрозділами кримінальної міліції у справах дітей, службами у справах дітей, соціальними службами для сім’ї, дітей та молоді.</w:t>
      </w:r>
    </w:p>
    <w:p w:rsidR="005F07E2" w:rsidRPr="00EF1064" w:rsidRDefault="005F07E2" w:rsidP="005F07E2">
      <w:pPr>
        <w:widowControl w:val="0"/>
        <w:tabs>
          <w:tab w:val="left" w:pos="4215"/>
        </w:tabs>
        <w:spacing w:after="0" w:line="240" w:lineRule="auto"/>
        <w:ind w:firstLine="709"/>
        <w:jc w:val="both"/>
        <w:rPr>
          <w:rFonts w:ascii="Times New Roman" w:hAnsi="Times New Roman"/>
          <w:sz w:val="28"/>
          <w:szCs w:val="28"/>
        </w:rPr>
      </w:pPr>
      <w:r w:rsidRPr="00EF1064">
        <w:rPr>
          <w:rFonts w:ascii="Times New Roman" w:hAnsi="Times New Roman"/>
          <w:sz w:val="28"/>
          <w:szCs w:val="28"/>
        </w:rPr>
        <w:t>Незважаючи на те, що в 2015 році Уряд України зробив позитивний крок, заборонивши продаж пива через МАФи, однак ситуація щодо вживання алкогольних та наркотичних речовин дітьми і молоддю залишається критичною, про що вказують дані опитування учнів 7-8 класів з 11 областей України (Діаграма 1). Близько 10% від загальної кількості учнів 7-8 класів має досвід епізодичного вживання алкогольних напоїв.</w:t>
      </w:r>
    </w:p>
    <w:p w:rsidR="005F07E2" w:rsidRPr="00EF1064" w:rsidRDefault="005F07E2" w:rsidP="005F07E2">
      <w:pPr>
        <w:widowControl w:val="0"/>
        <w:tabs>
          <w:tab w:val="left" w:pos="4215"/>
        </w:tabs>
        <w:spacing w:after="0" w:line="240" w:lineRule="auto"/>
        <w:ind w:firstLine="709"/>
        <w:jc w:val="right"/>
        <w:rPr>
          <w:rFonts w:ascii="Times New Roman" w:hAnsi="Times New Roman"/>
          <w:sz w:val="28"/>
          <w:szCs w:val="28"/>
        </w:rPr>
      </w:pPr>
      <w:r w:rsidRPr="00EF1064">
        <w:rPr>
          <w:rFonts w:ascii="Times New Roman" w:hAnsi="Times New Roman"/>
          <w:sz w:val="28"/>
          <w:szCs w:val="28"/>
        </w:rPr>
        <w:t xml:space="preserve">Діаграма 1. </w:t>
      </w:r>
    </w:p>
    <w:p w:rsidR="005F07E2" w:rsidRPr="00EF1064" w:rsidRDefault="005F07E2" w:rsidP="005F07E2">
      <w:pPr>
        <w:widowControl w:val="0"/>
        <w:tabs>
          <w:tab w:val="left" w:pos="4215"/>
        </w:tabs>
        <w:spacing w:after="0" w:line="240" w:lineRule="auto"/>
        <w:ind w:firstLine="709"/>
        <w:jc w:val="center"/>
        <w:rPr>
          <w:rFonts w:ascii="Times New Roman" w:hAnsi="Times New Roman"/>
          <w:sz w:val="28"/>
          <w:szCs w:val="28"/>
        </w:rPr>
      </w:pPr>
      <w:r w:rsidRPr="00EF1064">
        <w:rPr>
          <w:rFonts w:ascii="Times New Roman" w:hAnsi="Times New Roman"/>
          <w:sz w:val="28"/>
          <w:szCs w:val="28"/>
        </w:rPr>
        <w:t>«Я вживаю алкогольні напої..»</w:t>
      </w:r>
    </w:p>
    <w:p w:rsidR="005F07E2" w:rsidRPr="00EF1064" w:rsidRDefault="00A131AA" w:rsidP="005F07E2">
      <w:pPr>
        <w:widowControl w:val="0"/>
        <w:tabs>
          <w:tab w:val="left" w:pos="4215"/>
        </w:tabs>
        <w:spacing w:after="0" w:line="240" w:lineRule="auto"/>
        <w:ind w:firstLine="709"/>
        <w:jc w:val="both"/>
        <w:rPr>
          <w:rFonts w:ascii="Times New Roman" w:hAnsi="Times New Roman"/>
          <w:sz w:val="28"/>
          <w:szCs w:val="28"/>
        </w:rPr>
      </w:pPr>
      <w:r>
        <w:rPr>
          <w:rFonts w:ascii="Times New Roman" w:hAnsi="Times New Roman"/>
          <w:noProof/>
          <w:lang w:eastAsia="uk-UA"/>
        </w:rPr>
        <w:drawing>
          <wp:inline distT="0" distB="0" distL="0" distR="0">
            <wp:extent cx="5286375" cy="32289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07E2" w:rsidRPr="00EF1064" w:rsidRDefault="005F07E2" w:rsidP="005F07E2">
      <w:pPr>
        <w:widowControl w:val="0"/>
        <w:tabs>
          <w:tab w:val="left" w:pos="4215"/>
        </w:tabs>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 </w:t>
      </w:r>
    </w:p>
    <w:p w:rsidR="005F07E2" w:rsidRPr="00EF1064" w:rsidRDefault="005F07E2" w:rsidP="00663600">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З метою організації масштабної протиалкогольної профілактичної кампанії, в рамках діяльності психологічної служби системи освіти продовжується впровадження інформаційно-освітньої протиалкогольної програми «Сімейна розмова» у Запорізькій, Донецькій, Харківській, Львівській, Чернігівській, Миколаївській, Івано-Франківській, Чернівецькій, Дніпропетровській, Кіровоградській та м. Києві. Кількість учнів, які включені у програму протягом даного навчального року становила 32 тис. учнів 7-8 класів, кількість педагогічних працівників – близько 800. </w:t>
      </w:r>
    </w:p>
    <w:p w:rsidR="00E5729D" w:rsidRDefault="005F07E2" w:rsidP="005F07E2">
      <w:pPr>
        <w:widowControl w:val="0"/>
        <w:tabs>
          <w:tab w:val="left" w:pos="4215"/>
        </w:tabs>
        <w:spacing w:after="0" w:line="240" w:lineRule="auto"/>
        <w:ind w:firstLine="709"/>
        <w:jc w:val="both"/>
        <w:rPr>
          <w:rFonts w:ascii="Times New Roman" w:hAnsi="Times New Roman"/>
          <w:sz w:val="28"/>
          <w:szCs w:val="28"/>
        </w:rPr>
      </w:pPr>
      <w:r w:rsidRPr="00EF1064">
        <w:rPr>
          <w:rFonts w:ascii="Times New Roman" w:hAnsi="Times New Roman"/>
          <w:sz w:val="28"/>
          <w:szCs w:val="28"/>
        </w:rPr>
        <w:lastRenderedPageBreak/>
        <w:t xml:space="preserve">Враховуючи високу ефективність програми </w:t>
      </w:r>
      <w:r w:rsidR="00E5729D" w:rsidRPr="00EF1064">
        <w:rPr>
          <w:rFonts w:ascii="Times New Roman" w:hAnsi="Times New Roman"/>
          <w:sz w:val="28"/>
          <w:szCs w:val="28"/>
        </w:rPr>
        <w:t xml:space="preserve">рекомендуємо </w:t>
      </w:r>
      <w:r w:rsidRPr="00EF1064">
        <w:rPr>
          <w:rFonts w:ascii="Times New Roman" w:hAnsi="Times New Roman"/>
          <w:sz w:val="28"/>
          <w:szCs w:val="28"/>
        </w:rPr>
        <w:t xml:space="preserve">в 2015-2016 навчальному році організувати </w:t>
      </w:r>
      <w:r w:rsidR="00E5729D">
        <w:rPr>
          <w:rFonts w:ascii="Times New Roman" w:hAnsi="Times New Roman"/>
          <w:sz w:val="28"/>
          <w:szCs w:val="28"/>
        </w:rPr>
        <w:t xml:space="preserve">впровадження </w:t>
      </w:r>
      <w:r w:rsidRPr="00EF1064">
        <w:rPr>
          <w:rFonts w:ascii="Times New Roman" w:hAnsi="Times New Roman"/>
          <w:sz w:val="28"/>
          <w:szCs w:val="28"/>
        </w:rPr>
        <w:t>програми «Сімейна розмова»</w:t>
      </w:r>
      <w:r w:rsidR="00E5729D">
        <w:rPr>
          <w:rFonts w:ascii="Times New Roman" w:hAnsi="Times New Roman"/>
          <w:sz w:val="28"/>
          <w:szCs w:val="28"/>
        </w:rPr>
        <w:t>.</w:t>
      </w:r>
    </w:p>
    <w:p w:rsidR="005F07E2" w:rsidRPr="00EF1064" w:rsidRDefault="005F07E2" w:rsidP="005F07E2">
      <w:pPr>
        <w:widowControl w:val="0"/>
        <w:tabs>
          <w:tab w:val="left" w:pos="4215"/>
        </w:tabs>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 Електронна версія  всіх матеріалів Комплексної програми  розміщена на сайті: </w:t>
      </w:r>
      <w:hyperlink r:id="rId13" w:history="1">
        <w:r w:rsidRPr="00EF1064">
          <w:rPr>
            <w:rStyle w:val="a6"/>
            <w:rFonts w:ascii="Times New Roman" w:hAnsi="Times New Roman"/>
            <w:sz w:val="28"/>
            <w:szCs w:val="28"/>
            <w:u w:val="none"/>
          </w:rPr>
          <w:t>www.mon.gov.ua</w:t>
        </w:r>
      </w:hyperlink>
      <w:r w:rsidRPr="00EF1064">
        <w:rPr>
          <w:rFonts w:ascii="Times New Roman" w:hAnsi="Times New Roman"/>
          <w:sz w:val="28"/>
          <w:szCs w:val="28"/>
        </w:rPr>
        <w:t xml:space="preserve"> в розділі  позашкільна освіта, виховна робота та захист прав дитини.</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Особливий неспокій у батьків і педагогів викликає комп'ютерна залежність. Комп'ютерна, зокрема, Інтернет-залежність, визначається як психічний розлад, що характеризується нав'язливим бажанням підключитися до персонального комп'ютера (для ігор, спілкування в мережі тощо) і хворобливою нездатністю вчасно відключитися від нього.</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Психологічними особливостями дитини, що страждає комп'ютерною залежністю, є замкнутість, агресивність, неврівноваженість, невпевненість в собі, образливість, недовірливість, високий рівень тривожності, низький рівень самоактуалізації. Крім того, надмірна захопленість комп'ютерними іграми, призводить до формування стійкого бажання відходу в комп'ютерний світ, де можна відчути себе успішним і сильним, прийняти на себе роль іншого, у разі захоплення «стрілялками» відбувається звикання до сприйняття сцен насильства. </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Необхідно враховувати, що наявність комп'ютерної залежності є ознаками емоційного неблагополуччя і свідчить про необхідність надання психологічної допомоги і педагогічної підтримки (дітям властиві неадекватна самооцінка, нездатність до саморегуляції, емоційні труднощі у взаємодії, складності соціальної адаптації тощо). Ефективними в роботі з названими проблемами є індивідуальне і групове консультування, індивідуальна корекція, включення в тренінгові групи (соціально-психологічний тренінг, тренінг особистісного зростання), активна просвітницька робота (підготовка пам'яток для батьків, учнів про специфіку комп'ютерної залежності). </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Зауважимо, що необхідною також є робота з батьками, оскільки часто комп’ютерна залежність дитини пов’язана з небажанням батьків приділяти їй достатню увагу та їхнім прагненням таким чином «чимось зайняти» дитину. Зусилля також повинні бути спрямовані на те, щоб допомогти дитині навчитися конструктивно вирішувати свої проблеми, отримувати позитивні емоції і той особистісний сенс в реальній взаємодії та діяльності, а не у взаємодії з персональним комп'ютером, планшетом, мобільним телефоном. </w:t>
      </w:r>
    </w:p>
    <w:p w:rsidR="005F07E2" w:rsidRPr="00EF1064" w:rsidRDefault="00DA4809" w:rsidP="005F07E2">
      <w:pPr>
        <w:widowControl w:val="0"/>
        <w:tabs>
          <w:tab w:val="left" w:pos="4215"/>
        </w:tabs>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Складна соціально економічна ситуація, що </w:t>
      </w:r>
      <w:r w:rsidR="005F07E2" w:rsidRPr="00EF1064">
        <w:rPr>
          <w:rFonts w:ascii="Times New Roman" w:hAnsi="Times New Roman"/>
          <w:sz w:val="28"/>
          <w:szCs w:val="28"/>
        </w:rPr>
        <w:t xml:space="preserve">склалася в Україні, </w:t>
      </w:r>
      <w:r w:rsidRPr="00EF1064">
        <w:rPr>
          <w:rFonts w:ascii="Times New Roman" w:hAnsi="Times New Roman"/>
          <w:sz w:val="28"/>
          <w:szCs w:val="28"/>
        </w:rPr>
        <w:t xml:space="preserve">привертає увагу до посилення профілактичної роботи щодо </w:t>
      </w:r>
      <w:r w:rsidR="005F07E2" w:rsidRPr="00EF1064">
        <w:rPr>
          <w:rFonts w:ascii="Times New Roman" w:hAnsi="Times New Roman"/>
          <w:sz w:val="28"/>
          <w:szCs w:val="28"/>
        </w:rPr>
        <w:t>запобігання торгівлі людьми</w:t>
      </w:r>
      <w:r w:rsidRPr="00EF1064">
        <w:rPr>
          <w:rFonts w:ascii="Times New Roman" w:hAnsi="Times New Roman"/>
          <w:sz w:val="28"/>
          <w:szCs w:val="28"/>
        </w:rPr>
        <w:t>.</w:t>
      </w:r>
      <w:r w:rsidR="005F07E2" w:rsidRPr="00EF1064">
        <w:rPr>
          <w:rFonts w:ascii="Times New Roman" w:hAnsi="Times New Roman"/>
          <w:sz w:val="28"/>
          <w:szCs w:val="28"/>
        </w:rPr>
        <w:t xml:space="preserve"> Згідно статистики М</w:t>
      </w:r>
      <w:r w:rsidRPr="00EF1064">
        <w:rPr>
          <w:rFonts w:ascii="Times New Roman" w:hAnsi="Times New Roman"/>
          <w:sz w:val="28"/>
          <w:szCs w:val="28"/>
        </w:rPr>
        <w:t>іжнародної організації з міграції</w:t>
      </w:r>
      <w:r w:rsidR="005F07E2" w:rsidRPr="00EF1064">
        <w:rPr>
          <w:rFonts w:ascii="Times New Roman" w:hAnsi="Times New Roman"/>
          <w:sz w:val="28"/>
          <w:szCs w:val="28"/>
        </w:rPr>
        <w:t xml:space="preserve">, за період з 2000 по 2014 р. виявлено 605 дітей, які постраждали від торгівлі людьми, що складає 5,8% від усієї кількості постраждалих осіб, яким було надано допомогу. Зважаючи на надзвичайну вразливість саме дітей-сиріт та дітей, позбавлених батьківського піклування, необхідно систематично впроваджувати діяльність з ефективного попередження торгівлі людьми серед цієї групи ризику в усіх регіонах України. </w:t>
      </w:r>
    </w:p>
    <w:p w:rsidR="005F07E2" w:rsidRPr="00EF1064" w:rsidRDefault="005F07E2" w:rsidP="005F07E2">
      <w:pPr>
        <w:widowControl w:val="0"/>
        <w:tabs>
          <w:tab w:val="left" w:pos="4215"/>
        </w:tabs>
        <w:spacing w:after="0" w:line="240" w:lineRule="auto"/>
        <w:ind w:firstLine="709"/>
        <w:jc w:val="both"/>
        <w:rPr>
          <w:rFonts w:ascii="Times New Roman" w:hAnsi="Times New Roman"/>
          <w:sz w:val="28"/>
          <w:szCs w:val="28"/>
        </w:rPr>
      </w:pPr>
      <w:r w:rsidRPr="00EF1064">
        <w:rPr>
          <w:rFonts w:ascii="Times New Roman" w:hAnsi="Times New Roman"/>
          <w:sz w:val="28"/>
          <w:szCs w:val="28"/>
        </w:rPr>
        <w:t>Водночас, за даними МОМ, випускники професійно-технічних закладів складають 46,4% від усієї кількості постраждалих від торгівлі людьми, що може свідчити про недостатню поінформованість щодо власних прав та правил безпеки під час працевлаштування за кордоном та в Україні.</w:t>
      </w:r>
    </w:p>
    <w:p w:rsidR="005F07E2" w:rsidRPr="00EF1064" w:rsidRDefault="005F07E2" w:rsidP="005F07E2">
      <w:pPr>
        <w:widowControl w:val="0"/>
        <w:tabs>
          <w:tab w:val="left" w:pos="4215"/>
        </w:tabs>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Відповідно до Конвенції ООН про права дитини та Факультативного </w:t>
      </w:r>
      <w:r w:rsidRPr="00EF1064">
        <w:rPr>
          <w:rFonts w:ascii="Times New Roman" w:hAnsi="Times New Roman"/>
          <w:sz w:val="28"/>
          <w:szCs w:val="28"/>
        </w:rPr>
        <w:lastRenderedPageBreak/>
        <w:t>протоколу щодо торгівлі дітьми, дитячої проституції і дитячої порнографії до цієї Конвенції, які були ратифіковані Україною, необхідно активно підтримувати і заохочувати участь дітей у інформаційно-просвітницьких і навчальних програмах щодо превентивних заходів пов’язаних з торгівлею людьми і, зокрема, дітьми.</w:t>
      </w:r>
    </w:p>
    <w:p w:rsidR="005F07E2" w:rsidRPr="00EF1064" w:rsidRDefault="00CB061B"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З цього питання доцільно скористатися </w:t>
      </w:r>
      <w:r w:rsidR="005F07E2" w:rsidRPr="00EF1064">
        <w:rPr>
          <w:rFonts w:ascii="Times New Roman" w:hAnsi="Times New Roman"/>
          <w:sz w:val="28"/>
          <w:szCs w:val="28"/>
        </w:rPr>
        <w:t>програм</w:t>
      </w:r>
      <w:r w:rsidRPr="00EF1064">
        <w:rPr>
          <w:rFonts w:ascii="Times New Roman" w:hAnsi="Times New Roman"/>
          <w:sz w:val="28"/>
          <w:szCs w:val="28"/>
        </w:rPr>
        <w:t xml:space="preserve">ою </w:t>
      </w:r>
      <w:r w:rsidR="005F07E2" w:rsidRPr="00EF1064">
        <w:rPr>
          <w:rFonts w:ascii="Times New Roman" w:hAnsi="Times New Roman"/>
          <w:sz w:val="28"/>
          <w:szCs w:val="28"/>
        </w:rPr>
        <w:t>виховних заходів  «Особиста гідність. Безпека життя. Громадянська позиція» для учнів 7-11 класів та комплект</w:t>
      </w:r>
      <w:r w:rsidRPr="00EF1064">
        <w:rPr>
          <w:rFonts w:ascii="Times New Roman" w:hAnsi="Times New Roman"/>
          <w:sz w:val="28"/>
          <w:szCs w:val="28"/>
        </w:rPr>
        <w:t>ом</w:t>
      </w:r>
      <w:r w:rsidR="005F07E2" w:rsidRPr="00EF1064">
        <w:rPr>
          <w:rFonts w:ascii="Times New Roman" w:hAnsi="Times New Roman"/>
          <w:sz w:val="28"/>
          <w:szCs w:val="28"/>
        </w:rPr>
        <w:t xml:space="preserve"> методичних матеріалів щодо впровадження програми в професійно-технічних навчальних закладах, загальноосвітніх школах-інтернатах та інститутах післядипломної педагогічної освіти, що схвалені для використання науково-методичною комісією з проблем виховання дітей та учнівської молоді Науково-методичної ради з питань освіти Міністерства освіти і науки  протокол № 3 від 14 жовтня 2014 року (лист МОН від  28.05.2015 №1/9-264). </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Матеріали розміщені у вільному доступі на сайті Міністерства в розділі «Позашкільна освіта, виховна робота» за покликанням: </w:t>
      </w:r>
      <w:hyperlink r:id="rId14" w:history="1">
        <w:r w:rsidRPr="00EF1064">
          <w:rPr>
            <w:rStyle w:val="a6"/>
            <w:rFonts w:ascii="Times New Roman" w:hAnsi="Times New Roman"/>
            <w:sz w:val="28"/>
            <w:szCs w:val="28"/>
            <w:u w:val="none"/>
          </w:rPr>
          <w:t>http://old.mon.gov.ua/ua/activity/education/59/196/korinf19/</w:t>
        </w:r>
      </w:hyperlink>
    </w:p>
    <w:p w:rsidR="005F07E2" w:rsidRPr="00EF1064" w:rsidRDefault="005F07E2" w:rsidP="005F07E2">
      <w:pPr>
        <w:widowControl w:val="0"/>
        <w:tabs>
          <w:tab w:val="left" w:pos="4215"/>
        </w:tabs>
        <w:suppressAutoHyphens/>
        <w:spacing w:after="0" w:line="240" w:lineRule="auto"/>
        <w:ind w:firstLine="709"/>
        <w:jc w:val="both"/>
        <w:rPr>
          <w:rFonts w:ascii="Times New Roman" w:eastAsia="Droid Sans Fallback" w:hAnsi="Times New Roman"/>
          <w:kern w:val="1"/>
          <w:sz w:val="28"/>
          <w:szCs w:val="28"/>
          <w:lang w:eastAsia="zh-CN" w:bidi="hi-IN"/>
        </w:rPr>
      </w:pPr>
      <w:r w:rsidRPr="00EF1064">
        <w:rPr>
          <w:rFonts w:ascii="Times New Roman" w:eastAsia="Droid Sans Fallback" w:hAnsi="Times New Roman"/>
          <w:kern w:val="1"/>
          <w:sz w:val="28"/>
          <w:szCs w:val="28"/>
          <w:lang w:eastAsia="zh-CN" w:bidi="hi-IN"/>
        </w:rPr>
        <w:t xml:space="preserve">Важливим напрямом діяльності працівників психологічної служби в 2015-2016 навчальному році залишається забезпечення та психологічний супровід </w:t>
      </w:r>
      <w:r w:rsidRPr="00EF1064">
        <w:rPr>
          <w:rFonts w:ascii="Times New Roman" w:eastAsia="Droid Sans Fallback" w:hAnsi="Times New Roman"/>
          <w:bCs/>
          <w:kern w:val="1"/>
          <w:sz w:val="28"/>
          <w:szCs w:val="28"/>
          <w:lang w:eastAsia="zh-CN" w:bidi="hi-IN"/>
        </w:rPr>
        <w:t xml:space="preserve"> профільного та професійного самовизначення учнів</w:t>
      </w:r>
      <w:r w:rsidRPr="00EF1064">
        <w:rPr>
          <w:rFonts w:ascii="Times New Roman" w:eastAsia="Droid Sans Fallback" w:hAnsi="Times New Roman"/>
          <w:kern w:val="1"/>
          <w:sz w:val="28"/>
          <w:szCs w:val="28"/>
          <w:lang w:eastAsia="zh-CN" w:bidi="hi-IN"/>
        </w:rPr>
        <w:t>.</w:t>
      </w:r>
    </w:p>
    <w:p w:rsidR="005F07E2" w:rsidRPr="00EF1064" w:rsidRDefault="005F07E2" w:rsidP="005F07E2">
      <w:pPr>
        <w:widowControl w:val="0"/>
        <w:suppressLineNumbers/>
        <w:tabs>
          <w:tab w:val="left" w:pos="708"/>
          <w:tab w:val="center" w:pos="4677"/>
          <w:tab w:val="right" w:pos="9355"/>
        </w:tabs>
        <w:suppressAutoHyphens/>
        <w:spacing w:after="0" w:line="240" w:lineRule="auto"/>
        <w:ind w:firstLine="709"/>
        <w:jc w:val="both"/>
        <w:rPr>
          <w:rFonts w:ascii="Times New Roman" w:eastAsia="Droid Sans Fallback" w:hAnsi="Times New Roman"/>
          <w:kern w:val="1"/>
          <w:sz w:val="28"/>
          <w:szCs w:val="28"/>
          <w:lang w:eastAsia="zh-CN" w:bidi="hi-IN"/>
        </w:rPr>
      </w:pPr>
      <w:r w:rsidRPr="00EF1064">
        <w:rPr>
          <w:rFonts w:ascii="Times New Roman" w:eastAsia="Droid Sans Fallback" w:hAnsi="Times New Roman"/>
          <w:kern w:val="1"/>
          <w:sz w:val="28"/>
          <w:szCs w:val="28"/>
          <w:lang w:eastAsia="zh-CN" w:bidi="hi-IN"/>
        </w:rPr>
        <w:t xml:space="preserve">Міністерством освіти і науки України надано гриф навчальним програмам курсів за вибором “Людина і світ професій” для учнів 8-9 класів та “Побудова кар’єри”, які можуть бути розраховані на 9, 18, 35, 70 год. і впроваджуються у загальноосвітніх навчальних закладах з 2009 р., програма </w:t>
      </w:r>
      <w:r w:rsidRPr="00EF1064">
        <w:rPr>
          <w:rFonts w:ascii="Times New Roman" w:eastAsia="Droid Sans Fallback" w:hAnsi="Times New Roman"/>
          <w:spacing w:val="-10"/>
          <w:kern w:val="1"/>
          <w:sz w:val="28"/>
          <w:szCs w:val="28"/>
          <w:lang w:eastAsia="zh-CN" w:bidi="hi-IN"/>
        </w:rPr>
        <w:t xml:space="preserve">“Моя майбутня професія: правила вибору” </w:t>
      </w:r>
      <w:r w:rsidRPr="00EF1064">
        <w:rPr>
          <w:rFonts w:ascii="Times New Roman" w:eastAsia="Droid Sans Fallback" w:hAnsi="Times New Roman"/>
          <w:kern w:val="1"/>
          <w:sz w:val="28"/>
          <w:szCs w:val="28"/>
          <w:lang w:eastAsia="zh-CN" w:bidi="hi-IN"/>
        </w:rPr>
        <w:t>(52 год.) [</w:t>
      </w:r>
      <w:r w:rsidRPr="00EF1064">
        <w:rPr>
          <w:rFonts w:ascii="Times New Roman" w:eastAsia="Droid Sans Fallback" w:hAnsi="Times New Roman"/>
          <w:bCs/>
          <w:kern w:val="1"/>
          <w:sz w:val="28"/>
          <w:szCs w:val="28"/>
          <w:lang w:eastAsia="zh-CN" w:bidi="hi-IN"/>
        </w:rPr>
        <w:t>курс за вибором</w:t>
      </w:r>
      <w:r w:rsidRPr="00EF1064">
        <w:rPr>
          <w:rFonts w:ascii="Times New Roman" w:eastAsia="Droid Sans Fallback" w:hAnsi="Times New Roman"/>
          <w:kern w:val="1"/>
          <w:sz w:val="28"/>
          <w:szCs w:val="28"/>
          <w:lang w:eastAsia="zh-CN" w:bidi="hi-IN"/>
        </w:rPr>
        <w:t xml:space="preserve"> для учнів 9-х класів загальноосвітніх навчальних закладів (52 год.)] і </w:t>
      </w:r>
      <w:r w:rsidRPr="00EF1064">
        <w:rPr>
          <w:rFonts w:ascii="Times New Roman" w:eastAsia="Droid Sans Fallback" w:hAnsi="Times New Roman"/>
          <w:spacing w:val="-10"/>
          <w:kern w:val="1"/>
          <w:sz w:val="28"/>
          <w:szCs w:val="28"/>
          <w:lang w:eastAsia="zh-CN" w:bidi="hi-IN"/>
        </w:rPr>
        <w:t>“</w:t>
      </w:r>
      <w:r w:rsidRPr="00EF1064">
        <w:rPr>
          <w:rFonts w:ascii="Times New Roman" w:eastAsia="Droid Sans Fallback" w:hAnsi="Times New Roman"/>
          <w:kern w:val="1"/>
          <w:sz w:val="28"/>
          <w:szCs w:val="28"/>
          <w:lang w:eastAsia="zh-CN" w:bidi="hi-IN"/>
        </w:rPr>
        <w:t>Моя майбутня професія: шлях до успіху</w:t>
      </w:r>
      <w:r w:rsidRPr="00EF1064">
        <w:rPr>
          <w:rFonts w:ascii="Times New Roman" w:eastAsia="Droid Sans Fallback" w:hAnsi="Times New Roman"/>
          <w:spacing w:val="-10"/>
          <w:kern w:val="1"/>
          <w:sz w:val="28"/>
          <w:szCs w:val="28"/>
          <w:lang w:eastAsia="zh-CN" w:bidi="hi-IN"/>
        </w:rPr>
        <w:t>”</w:t>
      </w:r>
      <w:r w:rsidRPr="00EF1064">
        <w:rPr>
          <w:rFonts w:ascii="Times New Roman" w:eastAsia="Droid Sans Fallback" w:hAnsi="Times New Roman"/>
          <w:kern w:val="1"/>
          <w:sz w:val="28"/>
          <w:szCs w:val="28"/>
          <w:lang w:eastAsia="zh-CN" w:bidi="hi-IN"/>
        </w:rPr>
        <w:t> [</w:t>
      </w:r>
      <w:r w:rsidRPr="00EF1064">
        <w:rPr>
          <w:rFonts w:ascii="Times New Roman" w:eastAsia="Droid Sans Fallback" w:hAnsi="Times New Roman"/>
          <w:bCs/>
          <w:kern w:val="1"/>
          <w:sz w:val="28"/>
          <w:szCs w:val="28"/>
          <w:lang w:eastAsia="zh-CN" w:bidi="hi-IN"/>
        </w:rPr>
        <w:t>курс за вибором</w:t>
      </w:r>
      <w:r w:rsidRPr="00EF1064">
        <w:rPr>
          <w:rFonts w:ascii="Times New Roman" w:eastAsia="Droid Sans Fallback" w:hAnsi="Times New Roman"/>
          <w:kern w:val="1"/>
          <w:sz w:val="28"/>
          <w:szCs w:val="28"/>
          <w:lang w:eastAsia="zh-CN" w:bidi="hi-IN"/>
        </w:rPr>
        <w:t xml:space="preserve"> для учнів 10 (11)-х класів загальноосвітніх навчальних закладів (52 год.)]. Програми увійшли у навчально-методичний посібник “Збірник програм з викладання факультативних курсів, курсів за вибором та спецкурсів для застосування в роботі працівників психологічної служби загальноосвітніх навчальних закладів”, який також отримав гриф Міністерства освіти і науки України.</w:t>
      </w:r>
    </w:p>
    <w:p w:rsidR="005F07E2" w:rsidRPr="00EF1064" w:rsidRDefault="005F07E2" w:rsidP="005F07E2">
      <w:pPr>
        <w:spacing w:after="0" w:line="240" w:lineRule="auto"/>
        <w:ind w:firstLine="709"/>
        <w:jc w:val="both"/>
        <w:rPr>
          <w:rFonts w:ascii="Times New Roman" w:hAnsi="Times New Roman"/>
          <w:sz w:val="28"/>
          <w:szCs w:val="28"/>
        </w:rPr>
      </w:pPr>
      <w:r w:rsidRPr="00EF1064">
        <w:rPr>
          <w:rFonts w:ascii="Times New Roman" w:hAnsi="Times New Roman"/>
          <w:sz w:val="28"/>
          <w:szCs w:val="28"/>
        </w:rPr>
        <w:t xml:space="preserve">З огляду на посилену увагу країн Європейського Союзу до </w:t>
      </w:r>
      <w:r w:rsidRPr="00EF1064">
        <w:rPr>
          <w:rFonts w:ascii="Times New Roman" w:hAnsi="Times New Roman"/>
          <w:bCs/>
          <w:sz w:val="28"/>
          <w:szCs w:val="28"/>
        </w:rPr>
        <w:t>питання дотримання прав дитини</w:t>
      </w:r>
      <w:r w:rsidRPr="00EF1064">
        <w:rPr>
          <w:rFonts w:ascii="Times New Roman" w:hAnsi="Times New Roman"/>
          <w:sz w:val="28"/>
          <w:szCs w:val="28"/>
        </w:rPr>
        <w:t xml:space="preserve"> в Україні працівникам психологічної служби необхідно акцентувати свою діяльність по соціальному захисту прав </w:t>
      </w:r>
      <w:r w:rsidR="006500AF" w:rsidRPr="00EF1064">
        <w:rPr>
          <w:rFonts w:ascii="Times New Roman" w:hAnsi="Times New Roman"/>
          <w:sz w:val="28"/>
          <w:szCs w:val="28"/>
        </w:rPr>
        <w:t>прав і свобод дітей, створення умов комфортного освітнього середовища, захисту честі і гідності учнів, вихованців, студентів</w:t>
      </w:r>
      <w:r w:rsidRPr="00EF1064">
        <w:rPr>
          <w:rFonts w:ascii="Times New Roman" w:hAnsi="Times New Roman"/>
          <w:sz w:val="28"/>
          <w:szCs w:val="28"/>
        </w:rPr>
        <w:t xml:space="preserve"> На виконання Загальнодержавної програми "Національний план дій щодо реалізації Конвенції ООН про права дитини на період до 2016 року" соціальним педагогам навчальних закладів увести в практику постійно діючий моніторинг дотримання прав дітей та інших суб’єктів навчально-виховного процесу</w:t>
      </w:r>
      <w:r w:rsidR="006500AF">
        <w:rPr>
          <w:rFonts w:ascii="Times New Roman" w:hAnsi="Times New Roman"/>
          <w:sz w:val="28"/>
          <w:szCs w:val="28"/>
        </w:rPr>
        <w:t xml:space="preserve"> не лише </w:t>
      </w:r>
      <w:r w:rsidRPr="00EF1064">
        <w:rPr>
          <w:rFonts w:ascii="Times New Roman" w:hAnsi="Times New Roman"/>
          <w:sz w:val="28"/>
          <w:szCs w:val="28"/>
        </w:rPr>
        <w:t>в умовах навчального закладу, а і поза його межами, зокрема як батьки забезпечують належні умови для навчання, виховання та життя дитини.</w:t>
      </w:r>
    </w:p>
    <w:p w:rsidR="005F07E2" w:rsidRPr="00EF1064" w:rsidRDefault="005F07E2" w:rsidP="005F07E2">
      <w:pPr>
        <w:spacing w:after="0" w:line="240" w:lineRule="auto"/>
        <w:ind w:firstLine="709"/>
        <w:jc w:val="right"/>
        <w:rPr>
          <w:rFonts w:ascii="Times New Roman" w:hAnsi="Times New Roman"/>
          <w:sz w:val="28"/>
          <w:szCs w:val="28"/>
        </w:rPr>
      </w:pPr>
      <w:r w:rsidRPr="00EF1064">
        <w:rPr>
          <w:rFonts w:ascii="Times New Roman" w:hAnsi="Times New Roman"/>
          <w:sz w:val="28"/>
          <w:szCs w:val="28"/>
        </w:rPr>
        <w:t>Додаток 1</w:t>
      </w:r>
    </w:p>
    <w:p w:rsidR="005F07E2" w:rsidRPr="00EF1064" w:rsidRDefault="005F07E2" w:rsidP="005F07E2">
      <w:pPr>
        <w:spacing w:after="0" w:line="240" w:lineRule="auto"/>
        <w:ind w:firstLine="709"/>
        <w:jc w:val="center"/>
        <w:rPr>
          <w:rFonts w:ascii="Times New Roman" w:hAnsi="Times New Roman"/>
          <w:sz w:val="28"/>
        </w:rPr>
      </w:pPr>
      <w:r w:rsidRPr="00EF1064">
        <w:rPr>
          <w:rFonts w:ascii="Times New Roman" w:hAnsi="Times New Roman"/>
          <w:sz w:val="28"/>
        </w:rPr>
        <w:t>Розвиток психологічної служби системи освіти України у регіонах*</w:t>
      </w:r>
    </w:p>
    <w:p w:rsidR="005F07E2" w:rsidRPr="00EF1064" w:rsidRDefault="005F07E2" w:rsidP="005F07E2">
      <w:pPr>
        <w:spacing w:after="0" w:line="240" w:lineRule="auto"/>
        <w:ind w:firstLine="709"/>
        <w:jc w:val="center"/>
        <w:rPr>
          <w:rFonts w:ascii="Times New Roman" w:hAnsi="Times New Roman"/>
          <w:sz w:val="28"/>
        </w:rPr>
      </w:pPr>
      <w:r w:rsidRPr="00EF1064">
        <w:rPr>
          <w:rFonts w:ascii="Times New Roman" w:hAnsi="Times New Roman"/>
          <w:sz w:val="28"/>
        </w:rPr>
        <w:t>(кількість фахівців у порівнянні з минулим навчальним роком)</w:t>
      </w:r>
    </w:p>
    <w:p w:rsidR="005F07E2" w:rsidRPr="00EF1064" w:rsidRDefault="00A131AA" w:rsidP="005F07E2">
      <w:pPr>
        <w:pStyle w:val="a7"/>
        <w:spacing w:after="0" w:line="240" w:lineRule="auto"/>
        <w:ind w:left="0" w:firstLine="709"/>
        <w:jc w:val="center"/>
        <w:rPr>
          <w:rFonts w:ascii="Times New Roman" w:hAnsi="Times New Roman"/>
          <w:sz w:val="28"/>
        </w:rPr>
      </w:pPr>
      <w:r>
        <w:rPr>
          <w:noProof/>
          <w:lang w:eastAsia="uk-UA"/>
        </w:rPr>
        <w:lastRenderedPageBreak/>
        <w:drawing>
          <wp:inline distT="0" distB="0" distL="0" distR="0">
            <wp:extent cx="5940425" cy="8081010"/>
            <wp:effectExtent l="0" t="0" r="22225" b="1524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07E2" w:rsidRPr="00EF1064" w:rsidRDefault="005F07E2" w:rsidP="005F07E2">
      <w:pPr>
        <w:pStyle w:val="a7"/>
        <w:spacing w:after="0" w:line="240" w:lineRule="auto"/>
        <w:ind w:left="0" w:firstLine="709"/>
        <w:jc w:val="both"/>
        <w:rPr>
          <w:rFonts w:ascii="Times New Roman" w:hAnsi="Times New Roman"/>
          <w:sz w:val="18"/>
        </w:rPr>
      </w:pPr>
      <w:r w:rsidRPr="00EF1064">
        <w:rPr>
          <w:rFonts w:ascii="Times New Roman" w:hAnsi="Times New Roman"/>
          <w:sz w:val="18"/>
        </w:rPr>
        <w:t>______________________</w:t>
      </w:r>
    </w:p>
    <w:p w:rsidR="005F07E2" w:rsidRPr="00EF1064" w:rsidRDefault="005F07E2" w:rsidP="005F07E2">
      <w:pPr>
        <w:pStyle w:val="a7"/>
        <w:spacing w:after="0" w:line="240" w:lineRule="auto"/>
        <w:ind w:left="0" w:firstLine="709"/>
        <w:jc w:val="both"/>
        <w:rPr>
          <w:rFonts w:ascii="Times New Roman" w:hAnsi="Times New Roman"/>
        </w:rPr>
      </w:pPr>
      <w:r w:rsidRPr="00EF1064">
        <w:rPr>
          <w:rFonts w:ascii="Times New Roman" w:hAnsi="Times New Roman"/>
        </w:rPr>
        <w:t>* Без даних АР Крим, м. Севастополь, Мар'їнського та Ясинуватського районів Донецької області  і тимчасово окупованих територій за всіма типами навчальних закладів та ВНЗ І-ІІ рівні акредитації Луганської області та м. Києва</w:t>
      </w:r>
    </w:p>
    <w:p w:rsidR="005F07E2" w:rsidRPr="00EF1064" w:rsidRDefault="005F07E2" w:rsidP="005F07E2">
      <w:pPr>
        <w:pStyle w:val="a7"/>
        <w:spacing w:after="0" w:line="240" w:lineRule="auto"/>
        <w:ind w:left="0" w:firstLine="709"/>
        <w:jc w:val="center"/>
        <w:rPr>
          <w:rFonts w:ascii="Times New Roman" w:hAnsi="Times New Roman"/>
          <w:b/>
          <w:sz w:val="28"/>
        </w:rPr>
      </w:pPr>
      <w:r w:rsidRPr="00EF1064">
        <w:rPr>
          <w:rFonts w:ascii="Times New Roman" w:hAnsi="Times New Roman"/>
          <w:b/>
          <w:sz w:val="28"/>
        </w:rPr>
        <w:t>Забезпеченість фахівцями психологічної служби відповідно до нормативів чисельності по регіонах*</w:t>
      </w:r>
    </w:p>
    <w:p w:rsidR="005F07E2" w:rsidRPr="00EF1064" w:rsidRDefault="005F07E2" w:rsidP="005F07E2">
      <w:pPr>
        <w:pStyle w:val="a7"/>
        <w:spacing w:after="0" w:line="240" w:lineRule="auto"/>
        <w:ind w:left="0" w:firstLine="709"/>
        <w:contextualSpacing w:val="0"/>
        <w:jc w:val="center"/>
        <w:rPr>
          <w:rFonts w:ascii="Times New Roman" w:hAnsi="Times New Roman"/>
          <w:sz w:val="28"/>
        </w:rPr>
      </w:pPr>
      <w:r w:rsidRPr="00EF1064">
        <w:rPr>
          <w:rFonts w:ascii="Times New Roman" w:hAnsi="Times New Roman"/>
          <w:sz w:val="28"/>
        </w:rPr>
        <w:t>(у порівнянні з минулим навчальним роком)</w:t>
      </w:r>
    </w:p>
    <w:p w:rsidR="005F07E2" w:rsidRPr="00EF1064" w:rsidRDefault="00A131AA" w:rsidP="005F07E2">
      <w:pPr>
        <w:pStyle w:val="a7"/>
        <w:spacing w:after="0" w:line="240" w:lineRule="auto"/>
        <w:ind w:left="0" w:firstLine="709"/>
        <w:jc w:val="center"/>
        <w:rPr>
          <w:rFonts w:ascii="Times New Roman" w:hAnsi="Times New Roman"/>
          <w:sz w:val="28"/>
        </w:rPr>
      </w:pPr>
      <w:r>
        <w:rPr>
          <w:noProof/>
          <w:lang w:eastAsia="uk-UA"/>
        </w:rPr>
        <w:lastRenderedPageBreak/>
        <w:drawing>
          <wp:inline distT="0" distB="0" distL="0" distR="0">
            <wp:extent cx="5940425" cy="7838440"/>
            <wp:effectExtent l="0" t="0" r="22225" b="1016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07E2" w:rsidRPr="00EF1064" w:rsidRDefault="005F07E2" w:rsidP="005F07E2">
      <w:pPr>
        <w:pStyle w:val="a7"/>
        <w:spacing w:after="0" w:line="240" w:lineRule="auto"/>
        <w:ind w:left="0" w:firstLine="709"/>
        <w:jc w:val="both"/>
        <w:rPr>
          <w:rFonts w:ascii="Times New Roman" w:hAnsi="Times New Roman"/>
          <w:sz w:val="20"/>
        </w:rPr>
      </w:pPr>
      <w:r w:rsidRPr="00EF1064">
        <w:rPr>
          <w:rFonts w:ascii="Times New Roman" w:hAnsi="Times New Roman"/>
          <w:sz w:val="20"/>
        </w:rPr>
        <w:t>________________________</w:t>
      </w:r>
    </w:p>
    <w:p w:rsidR="005F07E2" w:rsidRPr="00EF1064" w:rsidRDefault="005F07E2" w:rsidP="005F07E2">
      <w:pPr>
        <w:pStyle w:val="a7"/>
        <w:spacing w:after="0" w:line="240" w:lineRule="auto"/>
        <w:ind w:left="0" w:firstLine="709"/>
        <w:jc w:val="both"/>
        <w:rPr>
          <w:rFonts w:ascii="Times New Roman" w:hAnsi="Times New Roman"/>
        </w:rPr>
      </w:pPr>
      <w:r w:rsidRPr="00EF1064">
        <w:rPr>
          <w:rFonts w:ascii="Times New Roman" w:hAnsi="Times New Roman"/>
        </w:rPr>
        <w:t>* Без даних АР Крим, м. Севастополь, Мар'їнського та Ясинуватського районів Донецької області  і тимчасово окупованих територій за всіма типами навчальних закладів та ВНЗ І-ІІ рівні акредитації Луганської області та м. Києва</w:t>
      </w:r>
    </w:p>
    <w:p w:rsidR="003532A1" w:rsidRPr="00EF1064" w:rsidRDefault="003532A1"/>
    <w:sectPr w:rsidR="003532A1" w:rsidRPr="00EF1064" w:rsidSect="005F07E2">
      <w:footerReference w:type="even" r:id="rId17"/>
      <w:footerReference w:type="default" r:id="rId18"/>
      <w:pgSz w:w="11906" w:h="16838"/>
      <w:pgMar w:top="851" w:right="746"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5D" w:rsidRDefault="003E1E5D">
      <w:r>
        <w:separator/>
      </w:r>
    </w:p>
  </w:endnote>
  <w:endnote w:type="continuationSeparator" w:id="0">
    <w:p w:rsidR="003E1E5D" w:rsidRDefault="003E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CA" w:rsidRDefault="007A43CA" w:rsidP="005F07E2">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A43CA" w:rsidRDefault="007A43CA" w:rsidP="005F07E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CA" w:rsidRDefault="007A43CA" w:rsidP="005F07E2">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131AA">
      <w:rPr>
        <w:rStyle w:val="a8"/>
        <w:noProof/>
      </w:rPr>
      <w:t>10</w:t>
    </w:r>
    <w:r>
      <w:rPr>
        <w:rStyle w:val="a8"/>
      </w:rPr>
      <w:fldChar w:fldCharType="end"/>
    </w:r>
  </w:p>
  <w:p w:rsidR="007A43CA" w:rsidRPr="003217FA" w:rsidRDefault="007A43CA" w:rsidP="005F07E2">
    <w:pPr>
      <w:pStyle w:val="a4"/>
      <w:ind w:right="360"/>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5D" w:rsidRDefault="003E1E5D">
      <w:r>
        <w:separator/>
      </w:r>
    </w:p>
  </w:footnote>
  <w:footnote w:type="continuationSeparator" w:id="0">
    <w:p w:rsidR="003E1E5D" w:rsidRDefault="003E1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E2"/>
    <w:rsid w:val="00015364"/>
    <w:rsid w:val="000C2E35"/>
    <w:rsid w:val="000D0770"/>
    <w:rsid w:val="00132375"/>
    <w:rsid w:val="0017344F"/>
    <w:rsid w:val="001D4E38"/>
    <w:rsid w:val="002276C6"/>
    <w:rsid w:val="002720AB"/>
    <w:rsid w:val="002A15C9"/>
    <w:rsid w:val="002A1638"/>
    <w:rsid w:val="00302CCD"/>
    <w:rsid w:val="00317461"/>
    <w:rsid w:val="003532A1"/>
    <w:rsid w:val="003725E5"/>
    <w:rsid w:val="003905D9"/>
    <w:rsid w:val="0039311B"/>
    <w:rsid w:val="003B7CDC"/>
    <w:rsid w:val="003E1E5D"/>
    <w:rsid w:val="00417D50"/>
    <w:rsid w:val="00443BBC"/>
    <w:rsid w:val="00463266"/>
    <w:rsid w:val="004733A3"/>
    <w:rsid w:val="004873E6"/>
    <w:rsid w:val="004A1864"/>
    <w:rsid w:val="005C4092"/>
    <w:rsid w:val="005F07E2"/>
    <w:rsid w:val="00616643"/>
    <w:rsid w:val="006500AF"/>
    <w:rsid w:val="00663600"/>
    <w:rsid w:val="00684B28"/>
    <w:rsid w:val="006A3002"/>
    <w:rsid w:val="006A586D"/>
    <w:rsid w:val="006B4AA6"/>
    <w:rsid w:val="006B644C"/>
    <w:rsid w:val="006D3AFF"/>
    <w:rsid w:val="007A43CA"/>
    <w:rsid w:val="007B34FC"/>
    <w:rsid w:val="00832869"/>
    <w:rsid w:val="0083769F"/>
    <w:rsid w:val="008A06C8"/>
    <w:rsid w:val="008A3996"/>
    <w:rsid w:val="008B6333"/>
    <w:rsid w:val="008B79F7"/>
    <w:rsid w:val="008B7E33"/>
    <w:rsid w:val="00905464"/>
    <w:rsid w:val="00950EA8"/>
    <w:rsid w:val="00962CFB"/>
    <w:rsid w:val="009C446A"/>
    <w:rsid w:val="00A03A95"/>
    <w:rsid w:val="00A131AA"/>
    <w:rsid w:val="00A61258"/>
    <w:rsid w:val="00AA2C26"/>
    <w:rsid w:val="00B207E4"/>
    <w:rsid w:val="00B2239C"/>
    <w:rsid w:val="00B3753D"/>
    <w:rsid w:val="00B641D5"/>
    <w:rsid w:val="00B654BA"/>
    <w:rsid w:val="00BA0DB2"/>
    <w:rsid w:val="00BC58FE"/>
    <w:rsid w:val="00BE2FD3"/>
    <w:rsid w:val="00C32B79"/>
    <w:rsid w:val="00C612E3"/>
    <w:rsid w:val="00C85831"/>
    <w:rsid w:val="00CA6A29"/>
    <w:rsid w:val="00CB061B"/>
    <w:rsid w:val="00CB487E"/>
    <w:rsid w:val="00CC4488"/>
    <w:rsid w:val="00CF32A8"/>
    <w:rsid w:val="00D01707"/>
    <w:rsid w:val="00D233EB"/>
    <w:rsid w:val="00D364B5"/>
    <w:rsid w:val="00D36DF9"/>
    <w:rsid w:val="00D8388E"/>
    <w:rsid w:val="00DA4809"/>
    <w:rsid w:val="00DC145C"/>
    <w:rsid w:val="00DE4664"/>
    <w:rsid w:val="00E037AC"/>
    <w:rsid w:val="00E5729D"/>
    <w:rsid w:val="00E960EB"/>
    <w:rsid w:val="00EB4D79"/>
    <w:rsid w:val="00EF1064"/>
    <w:rsid w:val="00EF1720"/>
    <w:rsid w:val="00F745C7"/>
    <w:rsid w:val="00F774D3"/>
    <w:rsid w:val="00FC75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7E2"/>
    <w:pPr>
      <w:spacing w:after="200" w:line="276" w:lineRule="auto"/>
    </w:pPr>
    <w:rPr>
      <w:rFonts w:ascii="Calibri" w:eastAsia="Calibri" w:hAnsi="Calibri"/>
      <w:sz w:val="22"/>
      <w:szCs w:val="22"/>
      <w:lang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yiv8424960188msonormal">
    <w:name w:val="yiv8424960188msonormal"/>
    <w:basedOn w:val="a"/>
    <w:rsid w:val="005F07E2"/>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footer"/>
    <w:basedOn w:val="a"/>
    <w:link w:val="a5"/>
    <w:unhideWhenUsed/>
    <w:rsid w:val="005F07E2"/>
    <w:pPr>
      <w:tabs>
        <w:tab w:val="center" w:pos="4819"/>
        <w:tab w:val="right" w:pos="9639"/>
      </w:tabs>
    </w:pPr>
    <w:rPr>
      <w:lang w:val="x-none"/>
    </w:rPr>
  </w:style>
  <w:style w:type="character" w:customStyle="1" w:styleId="a5">
    <w:name w:val="Нижний колонтитул Знак"/>
    <w:link w:val="a4"/>
    <w:rsid w:val="005F07E2"/>
    <w:rPr>
      <w:rFonts w:ascii="Calibri" w:eastAsia="Calibri" w:hAnsi="Calibri"/>
      <w:sz w:val="22"/>
      <w:szCs w:val="22"/>
      <w:lang w:val="x-none" w:eastAsia="en-US" w:bidi="ar-SA"/>
    </w:rPr>
  </w:style>
  <w:style w:type="character" w:styleId="a6">
    <w:name w:val="Hyperlink"/>
    <w:rsid w:val="005F07E2"/>
    <w:rPr>
      <w:color w:val="0000FF"/>
      <w:u w:val="single"/>
    </w:rPr>
  </w:style>
  <w:style w:type="paragraph" w:customStyle="1" w:styleId="FR1">
    <w:name w:val="FR1"/>
    <w:rsid w:val="005F07E2"/>
    <w:pPr>
      <w:widowControl w:val="0"/>
      <w:spacing w:before="40" w:line="300" w:lineRule="auto"/>
      <w:ind w:left="1840" w:right="1800"/>
      <w:jc w:val="center"/>
    </w:pPr>
    <w:rPr>
      <w:rFonts w:eastAsia="Calibri"/>
      <w:sz w:val="32"/>
      <w:szCs w:val="32"/>
      <w:lang w:eastAsia="ru-RU"/>
    </w:rPr>
  </w:style>
  <w:style w:type="paragraph" w:styleId="a7">
    <w:name w:val="List Paragraph"/>
    <w:basedOn w:val="a"/>
    <w:qFormat/>
    <w:rsid w:val="005F07E2"/>
    <w:pPr>
      <w:ind w:left="720"/>
      <w:contextualSpacing/>
    </w:pPr>
  </w:style>
  <w:style w:type="character" w:styleId="a8">
    <w:name w:val="page number"/>
    <w:basedOn w:val="a0"/>
    <w:rsid w:val="005F07E2"/>
  </w:style>
  <w:style w:type="paragraph" w:customStyle="1" w:styleId="a1">
    <w:name w:val="Знак Знак"/>
    <w:basedOn w:val="a"/>
    <w:link w:val="a0"/>
    <w:rsid w:val="005F07E2"/>
    <w:pPr>
      <w:spacing w:after="0" w:line="240" w:lineRule="auto"/>
    </w:pPr>
    <w:rPr>
      <w:rFonts w:ascii="Times New Roman" w:eastAsia="Times New Roman" w:hAnsi="Times New Roman"/>
      <w:sz w:val="20"/>
      <w:szCs w:val="20"/>
      <w:lang w:val="en-US"/>
    </w:rPr>
  </w:style>
  <w:style w:type="paragraph" w:customStyle="1" w:styleId="FR3">
    <w:name w:val="FR3"/>
    <w:rsid w:val="006A586D"/>
    <w:pPr>
      <w:widowControl w:val="0"/>
      <w:spacing w:before="140" w:line="360" w:lineRule="auto"/>
      <w:ind w:left="3400" w:right="3400"/>
      <w:jc w:val="center"/>
    </w:pPr>
    <w:rPr>
      <w:rFonts w:ascii="Arial" w:eastAsia="Calibri" w:hAnsi="Arial" w:cs="Arial"/>
      <w:b/>
      <w:bCs/>
      <w:i/>
      <w:iCs/>
      <w:sz w:val="24"/>
      <w:szCs w:val="24"/>
      <w:lang w:eastAsia="ru-RU"/>
    </w:rPr>
  </w:style>
  <w:style w:type="paragraph" w:customStyle="1" w:styleId="FR2">
    <w:name w:val="FR2"/>
    <w:rsid w:val="006A586D"/>
    <w:pPr>
      <w:widowControl w:val="0"/>
      <w:spacing w:line="300" w:lineRule="auto"/>
      <w:ind w:left="4000"/>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7E2"/>
    <w:pPr>
      <w:spacing w:after="200" w:line="276" w:lineRule="auto"/>
    </w:pPr>
    <w:rPr>
      <w:rFonts w:ascii="Calibri" w:eastAsia="Calibri" w:hAnsi="Calibri"/>
      <w:sz w:val="22"/>
      <w:szCs w:val="22"/>
      <w:lang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yiv8424960188msonormal">
    <w:name w:val="yiv8424960188msonormal"/>
    <w:basedOn w:val="a"/>
    <w:rsid w:val="005F07E2"/>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footer"/>
    <w:basedOn w:val="a"/>
    <w:link w:val="a5"/>
    <w:unhideWhenUsed/>
    <w:rsid w:val="005F07E2"/>
    <w:pPr>
      <w:tabs>
        <w:tab w:val="center" w:pos="4819"/>
        <w:tab w:val="right" w:pos="9639"/>
      </w:tabs>
    </w:pPr>
    <w:rPr>
      <w:lang w:val="x-none"/>
    </w:rPr>
  </w:style>
  <w:style w:type="character" w:customStyle="1" w:styleId="a5">
    <w:name w:val="Нижний колонтитул Знак"/>
    <w:link w:val="a4"/>
    <w:rsid w:val="005F07E2"/>
    <w:rPr>
      <w:rFonts w:ascii="Calibri" w:eastAsia="Calibri" w:hAnsi="Calibri"/>
      <w:sz w:val="22"/>
      <w:szCs w:val="22"/>
      <w:lang w:val="x-none" w:eastAsia="en-US" w:bidi="ar-SA"/>
    </w:rPr>
  </w:style>
  <w:style w:type="character" w:styleId="a6">
    <w:name w:val="Hyperlink"/>
    <w:rsid w:val="005F07E2"/>
    <w:rPr>
      <w:color w:val="0000FF"/>
      <w:u w:val="single"/>
    </w:rPr>
  </w:style>
  <w:style w:type="paragraph" w:customStyle="1" w:styleId="FR1">
    <w:name w:val="FR1"/>
    <w:rsid w:val="005F07E2"/>
    <w:pPr>
      <w:widowControl w:val="0"/>
      <w:spacing w:before="40" w:line="300" w:lineRule="auto"/>
      <w:ind w:left="1840" w:right="1800"/>
      <w:jc w:val="center"/>
    </w:pPr>
    <w:rPr>
      <w:rFonts w:eastAsia="Calibri"/>
      <w:sz w:val="32"/>
      <w:szCs w:val="32"/>
      <w:lang w:eastAsia="ru-RU"/>
    </w:rPr>
  </w:style>
  <w:style w:type="paragraph" w:styleId="a7">
    <w:name w:val="List Paragraph"/>
    <w:basedOn w:val="a"/>
    <w:qFormat/>
    <w:rsid w:val="005F07E2"/>
    <w:pPr>
      <w:ind w:left="720"/>
      <w:contextualSpacing/>
    </w:pPr>
  </w:style>
  <w:style w:type="character" w:styleId="a8">
    <w:name w:val="page number"/>
    <w:basedOn w:val="a0"/>
    <w:rsid w:val="005F07E2"/>
  </w:style>
  <w:style w:type="paragraph" w:customStyle="1" w:styleId="a1">
    <w:name w:val="Знак Знак"/>
    <w:basedOn w:val="a"/>
    <w:link w:val="a0"/>
    <w:rsid w:val="005F07E2"/>
    <w:pPr>
      <w:spacing w:after="0" w:line="240" w:lineRule="auto"/>
    </w:pPr>
    <w:rPr>
      <w:rFonts w:ascii="Times New Roman" w:eastAsia="Times New Roman" w:hAnsi="Times New Roman"/>
      <w:sz w:val="20"/>
      <w:szCs w:val="20"/>
      <w:lang w:val="en-US"/>
    </w:rPr>
  </w:style>
  <w:style w:type="paragraph" w:customStyle="1" w:styleId="FR3">
    <w:name w:val="FR3"/>
    <w:rsid w:val="006A586D"/>
    <w:pPr>
      <w:widowControl w:val="0"/>
      <w:spacing w:before="140" w:line="360" w:lineRule="auto"/>
      <w:ind w:left="3400" w:right="3400"/>
      <w:jc w:val="center"/>
    </w:pPr>
    <w:rPr>
      <w:rFonts w:ascii="Arial" w:eastAsia="Calibri" w:hAnsi="Arial" w:cs="Arial"/>
      <w:b/>
      <w:bCs/>
      <w:i/>
      <w:iCs/>
      <w:sz w:val="24"/>
      <w:szCs w:val="24"/>
      <w:lang w:eastAsia="ru-RU"/>
    </w:rPr>
  </w:style>
  <w:style w:type="paragraph" w:customStyle="1" w:styleId="FR2">
    <w:name w:val="FR2"/>
    <w:rsid w:val="006A586D"/>
    <w:pPr>
      <w:widowControl w:val="0"/>
      <w:spacing w:line="300" w:lineRule="auto"/>
      <w:ind w:left="4000"/>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on.gov.u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syua.com.ua" TargetMode="Externa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yperlink" Target="http://old.mon.gov.ua/ua/activity/education/59/196/korinf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vv@minosvit.niiit.kiev.ua" TargetMode="External"/><Relationship Id="rId14" Type="http://schemas.openxmlformats.org/officeDocument/2006/relationships/hyperlink" Target="http://old.mon.gov.ua/ua/activity/education/59/196/korinf1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temp_doc_poscta\&#1050;&#1085;&#1080;&#1075;&#1072;1.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235294117647065E-2"/>
          <c:y val="5.1671732522796353E-2"/>
          <c:w val="0.89338235294117652"/>
          <c:h val="0.61094224924012153"/>
        </c:manualLayout>
      </c:layout>
      <c:bar3DChart>
        <c:barDir val="col"/>
        <c:grouping val="clustered"/>
        <c:varyColors val="0"/>
        <c:ser>
          <c:idx val="0"/>
          <c:order val="0"/>
          <c:tx>
            <c:strRef>
              <c:f>Sheet1!$A$2</c:f>
              <c:strCache>
                <c:ptCount val="1"/>
                <c:pt idx="0">
                  <c:v>1-2 рази на тиждень</c:v>
                </c:pt>
              </c:strCache>
            </c:strRef>
          </c:tx>
          <c:spPr>
            <a:solidFill>
              <a:srgbClr val="9999FF"/>
            </a:solidFill>
            <a:ln w="10819">
              <a:solidFill>
                <a:srgbClr val="000000"/>
              </a:solidFill>
              <a:prstDash val="solid"/>
            </a:ln>
          </c:spPr>
          <c:invertIfNegative val="0"/>
          <c:dLbls>
            <c:dLbl>
              <c:idx val="0"/>
              <c:layout>
                <c:manualLayout>
                  <c:x val="9.5760686661884448E-3"/>
                  <c:y val="-9.94064030454107E-3"/>
                </c:manualLayout>
              </c:layout>
              <c:showLegendKey val="0"/>
              <c:showVal val="1"/>
              <c:showCatName val="0"/>
              <c:showSerName val="0"/>
              <c:showPercent val="0"/>
              <c:showBubbleSize val="0"/>
            </c:dLbl>
            <c:dLbl>
              <c:idx val="1"/>
              <c:layout>
                <c:manualLayout>
                  <c:x val="1.4980072503147758E-2"/>
                  <c:y val="-2.1228216365630323E-3"/>
                </c:manualLayout>
              </c:layout>
              <c:showLegendKey val="0"/>
              <c:showVal val="1"/>
              <c:showCatName val="0"/>
              <c:showSerName val="0"/>
              <c:showPercent val="0"/>
              <c:showBubbleSize val="0"/>
            </c:dLbl>
            <c:spPr>
              <a:noFill/>
              <a:ln w="21638">
                <a:noFill/>
              </a:ln>
            </c:spPr>
            <c:txPr>
              <a:bodyPr/>
              <a:lstStyle/>
              <a:p>
                <a:pPr>
                  <a:defRPr sz="123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Sheet1!$B$1:$C$1</c:f>
              <c:strCache>
                <c:ptCount val="2"/>
                <c:pt idx="0">
                  <c:v>1-й зріз</c:v>
                </c:pt>
                <c:pt idx="1">
                  <c:v>2-й зріз</c:v>
                </c:pt>
              </c:strCache>
            </c:strRef>
          </c:cat>
          <c:val>
            <c:numRef>
              <c:f>Sheet1!$B$2:$C$2</c:f>
              <c:numCache>
                <c:formatCode>General</c:formatCode>
                <c:ptCount val="2"/>
                <c:pt idx="0">
                  <c:v>0.84</c:v>
                </c:pt>
                <c:pt idx="1">
                  <c:v>0.32</c:v>
                </c:pt>
              </c:numCache>
            </c:numRef>
          </c:val>
        </c:ser>
        <c:ser>
          <c:idx val="1"/>
          <c:order val="1"/>
          <c:tx>
            <c:strRef>
              <c:f>Sheet1!$A$3</c:f>
              <c:strCache>
                <c:ptCount val="1"/>
                <c:pt idx="0">
                  <c:v>1-2 рази на міс.</c:v>
                </c:pt>
              </c:strCache>
            </c:strRef>
          </c:tx>
          <c:spPr>
            <a:solidFill>
              <a:srgbClr val="993366"/>
            </a:solidFill>
            <a:ln w="10819">
              <a:solidFill>
                <a:srgbClr val="000000"/>
              </a:solidFill>
              <a:prstDash val="solid"/>
            </a:ln>
          </c:spPr>
          <c:invertIfNegative val="0"/>
          <c:dLbls>
            <c:dLbl>
              <c:idx val="0"/>
              <c:layout>
                <c:manualLayout>
                  <c:x val="1.7662201268693646E-2"/>
                  <c:y val="-9.7722505078504888E-3"/>
                </c:manualLayout>
              </c:layout>
              <c:showLegendKey val="0"/>
              <c:showVal val="1"/>
              <c:showCatName val="0"/>
              <c:showSerName val="0"/>
              <c:showPercent val="0"/>
              <c:showBubbleSize val="0"/>
            </c:dLbl>
            <c:dLbl>
              <c:idx val="1"/>
              <c:layout>
                <c:manualLayout>
                  <c:x val="1.3522648037014022E-2"/>
                  <c:y val="-1.3589242786941246E-2"/>
                </c:manualLayout>
              </c:layout>
              <c:showLegendKey val="0"/>
              <c:showVal val="1"/>
              <c:showCatName val="0"/>
              <c:showSerName val="0"/>
              <c:showPercent val="0"/>
              <c:showBubbleSize val="0"/>
            </c:dLbl>
            <c:spPr>
              <a:noFill/>
              <a:ln w="21638">
                <a:noFill/>
              </a:ln>
            </c:spPr>
            <c:txPr>
              <a:bodyPr/>
              <a:lstStyle/>
              <a:p>
                <a:pPr>
                  <a:defRPr sz="123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Sheet1!$B$1:$C$1</c:f>
              <c:strCache>
                <c:ptCount val="2"/>
                <c:pt idx="0">
                  <c:v>1-й зріз</c:v>
                </c:pt>
                <c:pt idx="1">
                  <c:v>2-й зріз</c:v>
                </c:pt>
              </c:strCache>
            </c:strRef>
          </c:cat>
          <c:val>
            <c:numRef>
              <c:f>Sheet1!$B$3:$C$3</c:f>
              <c:numCache>
                <c:formatCode>General</c:formatCode>
                <c:ptCount val="2"/>
                <c:pt idx="0">
                  <c:v>8.14</c:v>
                </c:pt>
                <c:pt idx="1">
                  <c:v>4.3099999999999996</c:v>
                </c:pt>
              </c:numCache>
            </c:numRef>
          </c:val>
        </c:ser>
        <c:ser>
          <c:idx val="2"/>
          <c:order val="2"/>
          <c:tx>
            <c:strRef>
              <c:f>Sheet1!$A$4</c:f>
              <c:strCache>
                <c:ptCount val="1"/>
                <c:pt idx="0">
                  <c:v>майже щодня</c:v>
                </c:pt>
              </c:strCache>
            </c:strRef>
          </c:tx>
          <c:spPr>
            <a:solidFill>
              <a:srgbClr val="FFFFCC"/>
            </a:solidFill>
            <a:ln w="10819">
              <a:solidFill>
                <a:srgbClr val="000000"/>
              </a:solidFill>
              <a:prstDash val="solid"/>
            </a:ln>
          </c:spPr>
          <c:invertIfNegative val="0"/>
          <c:dLbls>
            <c:dLbl>
              <c:idx val="0"/>
              <c:layout>
                <c:manualLayout>
                  <c:x val="2.277662447906478E-2"/>
                  <c:y val="-6.0384562643282461E-3"/>
                </c:manualLayout>
              </c:layout>
              <c:showLegendKey val="0"/>
              <c:showVal val="1"/>
              <c:showCatName val="0"/>
              <c:showSerName val="0"/>
              <c:showPercent val="0"/>
              <c:showBubbleSize val="0"/>
            </c:dLbl>
            <c:dLbl>
              <c:idx val="1"/>
              <c:layout>
                <c:manualLayout>
                  <c:x val="2.5990012423855832E-2"/>
                  <c:y val="-6.2081695634401933E-3"/>
                </c:manualLayout>
              </c:layout>
              <c:showLegendKey val="0"/>
              <c:showVal val="1"/>
              <c:showCatName val="0"/>
              <c:showSerName val="0"/>
              <c:showPercent val="0"/>
              <c:showBubbleSize val="0"/>
            </c:dLbl>
            <c:spPr>
              <a:noFill/>
              <a:ln w="21638">
                <a:noFill/>
              </a:ln>
            </c:spPr>
            <c:txPr>
              <a:bodyPr/>
              <a:lstStyle/>
              <a:p>
                <a:pPr>
                  <a:defRPr sz="123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Sheet1!$B$1:$C$1</c:f>
              <c:strCache>
                <c:ptCount val="2"/>
                <c:pt idx="0">
                  <c:v>1-й зріз</c:v>
                </c:pt>
                <c:pt idx="1">
                  <c:v>2-й зріз</c:v>
                </c:pt>
              </c:strCache>
            </c:strRef>
          </c:cat>
          <c:val>
            <c:numRef>
              <c:f>Sheet1!$B$4:$C$4</c:f>
              <c:numCache>
                <c:formatCode>General</c:formatCode>
                <c:ptCount val="2"/>
                <c:pt idx="0">
                  <c:v>0.46</c:v>
                </c:pt>
                <c:pt idx="1">
                  <c:v>0.25</c:v>
                </c:pt>
              </c:numCache>
            </c:numRef>
          </c:val>
        </c:ser>
        <c:ser>
          <c:idx val="3"/>
          <c:order val="3"/>
          <c:tx>
            <c:strRef>
              <c:f>Sheet1!$A$5</c:f>
              <c:strCache>
                <c:ptCount val="1"/>
                <c:pt idx="0">
                  <c:v>не вживаю</c:v>
                </c:pt>
              </c:strCache>
            </c:strRef>
          </c:tx>
          <c:spPr>
            <a:solidFill>
              <a:srgbClr val="CCFFFF"/>
            </a:solidFill>
            <a:ln w="10819">
              <a:solidFill>
                <a:srgbClr val="000000"/>
              </a:solidFill>
              <a:prstDash val="solid"/>
            </a:ln>
          </c:spPr>
          <c:invertIfNegative val="0"/>
          <c:dLbls>
            <c:dLbl>
              <c:idx val="0"/>
              <c:layout>
                <c:manualLayout>
                  <c:x val="2.5348051199217032E-2"/>
                  <c:y val="-2.4738558028580073E-2"/>
                </c:manualLayout>
              </c:layout>
              <c:showLegendKey val="0"/>
              <c:showVal val="1"/>
              <c:showCatName val="0"/>
              <c:showSerName val="0"/>
              <c:showPercent val="0"/>
              <c:showBubbleSize val="0"/>
            </c:dLbl>
            <c:dLbl>
              <c:idx val="1"/>
              <c:layout>
                <c:manualLayout>
                  <c:x val="2.5237538660820943E-2"/>
                  <c:y val="-1.9451439780722196E-2"/>
                </c:manualLayout>
              </c:layout>
              <c:showLegendKey val="0"/>
              <c:showVal val="1"/>
              <c:showCatName val="0"/>
              <c:showSerName val="0"/>
              <c:showPercent val="0"/>
              <c:showBubbleSize val="0"/>
            </c:dLbl>
            <c:spPr>
              <a:noFill/>
              <a:ln w="21638">
                <a:noFill/>
              </a:ln>
            </c:spPr>
            <c:txPr>
              <a:bodyPr/>
              <a:lstStyle/>
              <a:p>
                <a:pPr>
                  <a:defRPr sz="1236"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dLbls>
          <c:cat>
            <c:strRef>
              <c:f>Sheet1!$B$1:$C$1</c:f>
              <c:strCache>
                <c:ptCount val="2"/>
                <c:pt idx="0">
                  <c:v>1-й зріз</c:v>
                </c:pt>
                <c:pt idx="1">
                  <c:v>2-й зріз</c:v>
                </c:pt>
              </c:strCache>
            </c:strRef>
          </c:cat>
          <c:val>
            <c:numRef>
              <c:f>Sheet1!$B$5:$C$5</c:f>
              <c:numCache>
                <c:formatCode>General</c:formatCode>
                <c:ptCount val="2"/>
                <c:pt idx="0">
                  <c:v>90.56</c:v>
                </c:pt>
                <c:pt idx="1">
                  <c:v>95.12</c:v>
                </c:pt>
              </c:numCache>
            </c:numRef>
          </c:val>
        </c:ser>
        <c:dLbls>
          <c:showLegendKey val="0"/>
          <c:showVal val="0"/>
          <c:showCatName val="0"/>
          <c:showSerName val="0"/>
          <c:showPercent val="0"/>
          <c:showBubbleSize val="0"/>
        </c:dLbls>
        <c:gapWidth val="150"/>
        <c:gapDepth val="0"/>
        <c:shape val="box"/>
        <c:axId val="66129920"/>
        <c:axId val="66131456"/>
        <c:axId val="0"/>
      </c:bar3DChart>
      <c:catAx>
        <c:axId val="66129920"/>
        <c:scaling>
          <c:orientation val="minMax"/>
        </c:scaling>
        <c:delete val="0"/>
        <c:axPos val="b"/>
        <c:numFmt formatCode="General" sourceLinked="1"/>
        <c:majorTickMark val="out"/>
        <c:minorTickMark val="none"/>
        <c:tickLblPos val="low"/>
        <c:spPr>
          <a:ln w="2704">
            <a:solidFill>
              <a:srgbClr val="000000"/>
            </a:solidFill>
            <a:prstDash val="solid"/>
          </a:ln>
        </c:spPr>
        <c:txPr>
          <a:bodyPr rot="0" vert="horz"/>
          <a:lstStyle/>
          <a:p>
            <a:pPr>
              <a:defRPr sz="1236" b="1" i="0" u="none" strike="noStrike" baseline="0">
                <a:solidFill>
                  <a:srgbClr val="000000"/>
                </a:solidFill>
                <a:latin typeface="Calibri"/>
                <a:ea typeface="Calibri"/>
                <a:cs typeface="Calibri"/>
              </a:defRPr>
            </a:pPr>
            <a:endParaRPr lang="uk-UA"/>
          </a:p>
        </c:txPr>
        <c:crossAx val="66131456"/>
        <c:crosses val="autoZero"/>
        <c:auto val="1"/>
        <c:lblAlgn val="ctr"/>
        <c:lblOffset val="100"/>
        <c:tickLblSkip val="1"/>
        <c:tickMarkSkip val="1"/>
        <c:noMultiLvlLbl val="0"/>
      </c:catAx>
      <c:valAx>
        <c:axId val="66131456"/>
        <c:scaling>
          <c:orientation val="minMax"/>
        </c:scaling>
        <c:delete val="0"/>
        <c:axPos val="l"/>
        <c:majorGridlines>
          <c:spPr>
            <a:ln w="2704">
              <a:solidFill>
                <a:srgbClr val="000000"/>
              </a:solidFill>
              <a:prstDash val="solid"/>
            </a:ln>
          </c:spPr>
        </c:majorGridlines>
        <c:numFmt formatCode="General" sourceLinked="1"/>
        <c:majorTickMark val="out"/>
        <c:minorTickMark val="none"/>
        <c:tickLblPos val="nextTo"/>
        <c:spPr>
          <a:ln w="2704">
            <a:solidFill>
              <a:srgbClr val="000000"/>
            </a:solidFill>
            <a:prstDash val="solid"/>
          </a:ln>
        </c:spPr>
        <c:txPr>
          <a:bodyPr rot="0" vert="horz"/>
          <a:lstStyle/>
          <a:p>
            <a:pPr>
              <a:defRPr sz="1236" b="1" i="0" u="none" strike="noStrike" baseline="0">
                <a:solidFill>
                  <a:srgbClr val="000000"/>
                </a:solidFill>
                <a:latin typeface="Calibri"/>
                <a:ea typeface="Calibri"/>
                <a:cs typeface="Calibri"/>
              </a:defRPr>
            </a:pPr>
            <a:endParaRPr lang="uk-UA"/>
          </a:p>
        </c:txPr>
        <c:crossAx val="66129920"/>
        <c:crosses val="autoZero"/>
        <c:crossBetween val="between"/>
      </c:valAx>
      <c:spPr>
        <a:noFill/>
        <a:ln w="21656">
          <a:noFill/>
        </a:ln>
      </c:spPr>
    </c:plotArea>
    <c:legend>
      <c:legendPos val="b"/>
      <c:layout>
        <c:manualLayout>
          <c:xMode val="edge"/>
          <c:yMode val="edge"/>
          <c:wMode val="edge"/>
          <c:hMode val="edge"/>
          <c:x val="0.14338235294117646"/>
          <c:y val="0.81155015197568392"/>
          <c:w val="0.85661764705882348"/>
          <c:h val="0.99088145896656543"/>
        </c:manualLayout>
      </c:layout>
      <c:overlay val="0"/>
      <c:spPr>
        <a:noFill/>
        <a:ln w="2704">
          <a:solidFill>
            <a:srgbClr val="000000"/>
          </a:solidFill>
          <a:prstDash val="solid"/>
        </a:ln>
      </c:spPr>
      <c:txPr>
        <a:bodyPr/>
        <a:lstStyle/>
        <a:p>
          <a:pPr>
            <a:defRPr sz="1133"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1236" b="1" i="0" u="none" strike="noStrike" baseline="0">
          <a:solidFill>
            <a:srgbClr val="000000"/>
          </a:solidFill>
          <a:latin typeface="Calibri"/>
          <a:ea typeface="Calibri"/>
          <a:cs typeface="Calibri"/>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461000067299274"/>
          <c:y val="6.2900025047198632E-2"/>
          <c:w val="0.64767443050128481"/>
          <c:h val="0.92454545735810534"/>
        </c:manualLayout>
      </c:layout>
      <c:barChart>
        <c:barDir val="bar"/>
        <c:grouping val="clustered"/>
        <c:varyColors val="0"/>
        <c:ser>
          <c:idx val="0"/>
          <c:order val="0"/>
          <c:tx>
            <c:strRef>
              <c:f>Лист1!$B$1</c:f>
              <c:strCache>
                <c:ptCount val="1"/>
                <c:pt idx="0">
                  <c:v>2013-2014</c:v>
                </c:pt>
              </c:strCache>
            </c:strRef>
          </c:tx>
          <c:spPr>
            <a:solidFill>
              <a:schemeClr val="tx1">
                <a:lumMod val="65000"/>
                <a:lumOff val="35000"/>
              </a:schemeClr>
            </a:solidFill>
            <a:ln>
              <a:solidFill>
                <a:schemeClr val="tx1">
                  <a:lumMod val="95000"/>
                  <a:lumOff val="5000"/>
                </a:schemeClr>
              </a:solidFill>
            </a:ln>
          </c:spPr>
          <c:invertIfNegative val="0"/>
          <c:dLbls>
            <c:dLbl>
              <c:idx val="0"/>
              <c:layout>
                <c:manualLayout>
                  <c:x val="-0.16184786997779124"/>
                  <c:y val="-7.3548378279049724E-3"/>
                </c:manualLayout>
              </c:layout>
              <c:dLblPos val="outEnd"/>
              <c:showLegendKey val="0"/>
              <c:showVal val="1"/>
              <c:showCatName val="0"/>
              <c:showSerName val="0"/>
              <c:showPercent val="0"/>
              <c:showBubbleSize val="0"/>
            </c:dLbl>
            <c:dLbl>
              <c:idx val="1"/>
              <c:layout>
                <c:manualLayout>
                  <c:x val="-0.14461807658658052"/>
                  <c:y val="-5.8839629231574268E-3"/>
                </c:manualLayout>
              </c:layout>
              <c:dLblPos val="outEnd"/>
              <c:showLegendKey val="0"/>
              <c:showVal val="1"/>
              <c:showCatName val="0"/>
              <c:showSerName val="0"/>
              <c:showPercent val="0"/>
              <c:showBubbleSize val="0"/>
            </c:dLbl>
            <c:dLbl>
              <c:idx val="2"/>
              <c:layout>
                <c:manualLayout>
                  <c:x val="-0.20587371290127196"/>
                  <c:y val="-5.8839629231574129E-3"/>
                </c:manualLayout>
              </c:layout>
              <c:dLblPos val="outEnd"/>
              <c:showLegendKey val="0"/>
              <c:showVal val="1"/>
              <c:showCatName val="0"/>
              <c:showSerName val="0"/>
              <c:showPercent val="0"/>
              <c:showBubbleSize val="0"/>
            </c:dLbl>
            <c:dLbl>
              <c:idx val="3"/>
              <c:layout>
                <c:manualLayout>
                  <c:x val="-0.52727118244834781"/>
                  <c:y val="-7.3546061758213831E-3"/>
                </c:manualLayout>
              </c:layout>
              <c:dLblPos val="outEnd"/>
              <c:showLegendKey val="0"/>
              <c:showVal val="1"/>
              <c:showCatName val="0"/>
              <c:showSerName val="0"/>
              <c:showPercent val="0"/>
              <c:showBubbleSize val="0"/>
            </c:dLbl>
            <c:dLbl>
              <c:idx val="4"/>
              <c:layout>
                <c:manualLayout>
                  <c:x val="-0.16146039437378021"/>
                  <c:y val="-5.8838470971156187E-3"/>
                </c:manualLayout>
              </c:layout>
              <c:dLblPos val="outEnd"/>
              <c:showLegendKey val="0"/>
              <c:showVal val="1"/>
              <c:showCatName val="0"/>
              <c:showSerName val="0"/>
              <c:showPercent val="0"/>
              <c:showBubbleSize val="0"/>
            </c:dLbl>
            <c:dLbl>
              <c:idx val="5"/>
              <c:layout>
                <c:manualLayout>
                  <c:x val="-0.16365788411064003"/>
                  <c:y val="-5.8839629231574129E-3"/>
                </c:manualLayout>
              </c:layout>
              <c:dLblPos val="outEnd"/>
              <c:showLegendKey val="0"/>
              <c:showVal val="1"/>
              <c:showCatName val="0"/>
              <c:showSerName val="0"/>
              <c:showPercent val="0"/>
              <c:showBubbleSize val="0"/>
            </c:dLbl>
            <c:dLbl>
              <c:idx val="6"/>
              <c:layout>
                <c:manualLayout>
                  <c:x val="-0.18830422639477756"/>
                  <c:y val="-4.4129721923680601E-3"/>
                </c:manualLayout>
              </c:layout>
              <c:dLblPos val="outEnd"/>
              <c:showLegendKey val="0"/>
              <c:showVal val="1"/>
              <c:showCatName val="0"/>
              <c:showSerName val="0"/>
              <c:showPercent val="0"/>
              <c:showBubbleSize val="0"/>
            </c:dLbl>
            <c:dLbl>
              <c:idx val="7"/>
              <c:layout>
                <c:manualLayout>
                  <c:x val="-0.19999512080220741"/>
                  <c:y val="-5.8838470971156187E-3"/>
                </c:manualLayout>
              </c:layout>
              <c:dLblPos val="outEnd"/>
              <c:showLegendKey val="0"/>
              <c:showVal val="1"/>
              <c:showCatName val="0"/>
              <c:showSerName val="0"/>
              <c:showPercent val="0"/>
              <c:showBubbleSize val="0"/>
            </c:dLbl>
            <c:dLbl>
              <c:idx val="8"/>
              <c:layout>
                <c:manualLayout>
                  <c:x val="-0.20667760279965006"/>
                  <c:y val="-7.3549536539467665E-3"/>
                </c:manualLayout>
              </c:layout>
              <c:dLblPos val="outEnd"/>
              <c:showLegendKey val="0"/>
              <c:showVal val="1"/>
              <c:showCatName val="0"/>
              <c:showSerName val="0"/>
              <c:showPercent val="0"/>
              <c:showBubbleSize val="0"/>
            </c:dLbl>
            <c:dLbl>
              <c:idx val="9"/>
              <c:layout>
                <c:manualLayout>
                  <c:x val="-0.14552022343360926"/>
                  <c:y val="-7.3549536539467665E-3"/>
                </c:manualLayout>
              </c:layout>
              <c:dLblPos val="outEnd"/>
              <c:showLegendKey val="0"/>
              <c:showVal val="1"/>
              <c:showCatName val="0"/>
              <c:showSerName val="0"/>
              <c:showPercent val="0"/>
              <c:showBubbleSize val="0"/>
            </c:dLbl>
            <c:dLbl>
              <c:idx val="10"/>
              <c:layout>
                <c:manualLayout>
                  <c:x val="-0.3578232047917087"/>
                  <c:y val="-7.3547220018631773E-3"/>
                </c:manualLayout>
              </c:layout>
              <c:dLblPos val="outEnd"/>
              <c:showLegendKey val="0"/>
              <c:showVal val="1"/>
              <c:showCatName val="0"/>
              <c:showSerName val="0"/>
              <c:showPercent val="0"/>
              <c:showBubbleSize val="0"/>
            </c:dLbl>
            <c:dLbl>
              <c:idx val="11"/>
              <c:layout>
                <c:manualLayout>
                  <c:x val="-0.1993362608520089"/>
                  <c:y val="-7.3549536539467665E-3"/>
                </c:manualLayout>
              </c:layout>
              <c:dLblPos val="outEnd"/>
              <c:showLegendKey val="0"/>
              <c:showVal val="1"/>
              <c:showCatName val="0"/>
              <c:showSerName val="0"/>
              <c:showPercent val="0"/>
              <c:showBubbleSize val="0"/>
            </c:dLbl>
            <c:dLbl>
              <c:idx val="12"/>
              <c:layout>
                <c:manualLayout>
                  <c:x val="-0.15656252103102497"/>
                  <c:y val="-7.3547220018631773E-3"/>
                </c:manualLayout>
              </c:layout>
              <c:dLblPos val="outEnd"/>
              <c:showLegendKey val="0"/>
              <c:showVal val="1"/>
              <c:showCatName val="0"/>
              <c:showSerName val="0"/>
              <c:showPercent val="0"/>
              <c:showBubbleSize val="0"/>
            </c:dLbl>
            <c:dLbl>
              <c:idx val="13"/>
              <c:layout>
                <c:manualLayout>
                  <c:x val="-0.21177771047849789"/>
                  <c:y val="-4.4129721923680601E-3"/>
                </c:manualLayout>
              </c:layout>
              <c:dLblPos val="outEnd"/>
              <c:showLegendKey val="0"/>
              <c:showVal val="1"/>
              <c:showCatName val="0"/>
              <c:showSerName val="0"/>
              <c:showPercent val="0"/>
              <c:showBubbleSize val="0"/>
            </c:dLbl>
            <c:dLbl>
              <c:idx val="14"/>
              <c:layout>
                <c:manualLayout>
                  <c:x val="-0.16981374924288309"/>
                  <c:y val="-5.8839629231574129E-3"/>
                </c:manualLayout>
              </c:layout>
              <c:dLblPos val="outEnd"/>
              <c:showLegendKey val="0"/>
              <c:showVal val="1"/>
              <c:showCatName val="0"/>
              <c:showSerName val="0"/>
              <c:showPercent val="0"/>
              <c:showBubbleSize val="0"/>
            </c:dLbl>
            <c:dLbl>
              <c:idx val="15"/>
              <c:layout>
                <c:manualLayout>
                  <c:x val="-0.17343949794737196"/>
                  <c:y val="-5.8838470971156187E-3"/>
                </c:manualLayout>
              </c:layout>
              <c:dLblPos val="outEnd"/>
              <c:showLegendKey val="0"/>
              <c:showVal val="1"/>
              <c:showCatName val="0"/>
              <c:showSerName val="0"/>
              <c:showPercent val="0"/>
              <c:showBubbleSize val="0"/>
            </c:dLbl>
            <c:dLbl>
              <c:idx val="16"/>
              <c:layout>
                <c:manualLayout>
                  <c:x val="-0.16135641698633824"/>
                  <c:y val="-5.8839629231574129E-3"/>
                </c:manualLayout>
              </c:layout>
              <c:dLblPos val="outEnd"/>
              <c:showLegendKey val="0"/>
              <c:showVal val="1"/>
              <c:showCatName val="0"/>
              <c:showSerName val="0"/>
              <c:showPercent val="0"/>
              <c:showBubbleSize val="0"/>
            </c:dLbl>
            <c:dLbl>
              <c:idx val="17"/>
              <c:layout>
                <c:manualLayout>
                  <c:x val="-0.15497223904704219"/>
                  <c:y val="-7.3547220018631773E-3"/>
                </c:manualLayout>
              </c:layout>
              <c:dLblPos val="outEnd"/>
              <c:showLegendKey val="0"/>
              <c:showVal val="1"/>
              <c:showCatName val="0"/>
              <c:showSerName val="0"/>
              <c:showPercent val="0"/>
              <c:showBubbleSize val="0"/>
            </c:dLbl>
            <c:dLbl>
              <c:idx val="18"/>
              <c:layout>
                <c:manualLayout>
                  <c:x val="-0.22013089709940103"/>
                  <c:y val="-7.3549536539467665E-3"/>
                </c:manualLayout>
              </c:layout>
              <c:dLblPos val="outEnd"/>
              <c:showLegendKey val="0"/>
              <c:showVal val="1"/>
              <c:showCatName val="0"/>
              <c:showSerName val="0"/>
              <c:showPercent val="0"/>
              <c:showBubbleSize val="0"/>
            </c:dLbl>
            <c:dLbl>
              <c:idx val="19"/>
              <c:layout>
                <c:manualLayout>
                  <c:x val="-0.15232081566727235"/>
                  <c:y val="-7.4559932138732205E-3"/>
                </c:manualLayout>
              </c:layout>
              <c:dLblPos val="outEnd"/>
              <c:showLegendKey val="0"/>
              <c:showVal val="1"/>
              <c:showCatName val="0"/>
              <c:showSerName val="0"/>
              <c:showPercent val="0"/>
              <c:showBubbleSize val="0"/>
            </c:dLbl>
            <c:dLbl>
              <c:idx val="20"/>
              <c:layout>
                <c:manualLayout>
                  <c:x val="-0.16265748031496063"/>
                  <c:y val="-5.8837312710738245E-3"/>
                </c:manualLayout>
              </c:layout>
              <c:dLblPos val="outEnd"/>
              <c:showLegendKey val="0"/>
              <c:showVal val="1"/>
              <c:showCatName val="0"/>
              <c:showSerName val="0"/>
              <c:showPercent val="0"/>
              <c:showBubbleSize val="0"/>
            </c:dLbl>
            <c:dLbl>
              <c:idx val="21"/>
              <c:layout>
                <c:manualLayout>
                  <c:x val="-0.16220354667205061"/>
                  <c:y val="-5.8839629231574129E-3"/>
                </c:manualLayout>
              </c:layout>
              <c:dLblPos val="outEnd"/>
              <c:showLegendKey val="0"/>
              <c:showVal val="1"/>
              <c:showCatName val="0"/>
              <c:showSerName val="0"/>
              <c:showPercent val="0"/>
              <c:showBubbleSize val="0"/>
            </c:dLbl>
            <c:dLbl>
              <c:idx val="22"/>
              <c:layout>
                <c:manualLayout>
                  <c:x val="-0.14371004105256074"/>
                  <c:y val="-5.8839629231575213E-3"/>
                </c:manualLayout>
              </c:layout>
              <c:dLblPos val="outEnd"/>
              <c:showLegendKey val="0"/>
              <c:showVal val="1"/>
              <c:showCatName val="0"/>
              <c:showSerName val="0"/>
              <c:showPercent val="0"/>
              <c:showBubbleSize val="0"/>
            </c:dLbl>
            <c:dLbl>
              <c:idx val="23"/>
              <c:layout>
                <c:manualLayout>
                  <c:x val="-0.15057137088633152"/>
                  <c:y val="-5.8839629231574129E-3"/>
                </c:manualLayout>
              </c:layout>
              <c:dLblPos val="outEnd"/>
              <c:showLegendKey val="0"/>
              <c:showVal val="1"/>
              <c:showCatName val="0"/>
              <c:showSerName val="0"/>
              <c:showPercent val="0"/>
              <c:showBubbleSize val="0"/>
            </c:dLbl>
            <c:dLbl>
              <c:idx val="24"/>
              <c:layout>
                <c:manualLayout>
                  <c:x val="-0.20313530520223433"/>
                  <c:y val="-7.3549536539467665E-3"/>
                </c:manualLayout>
              </c:layout>
              <c:dLblPos val="outEnd"/>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Лист1!$A$2:$A$26</c:f>
              <c:strCache>
                <c:ptCount val="25"/>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 Київ</c:v>
                </c:pt>
              </c:strCache>
            </c:strRef>
          </c:cat>
          <c:val>
            <c:numRef>
              <c:f>Лист1!$B$2:$B$26</c:f>
              <c:numCache>
                <c:formatCode>General</c:formatCode>
                <c:ptCount val="25"/>
                <c:pt idx="0">
                  <c:v>861</c:v>
                </c:pt>
                <c:pt idx="1">
                  <c:v>715</c:v>
                </c:pt>
                <c:pt idx="2">
                  <c:v>1509</c:v>
                </c:pt>
                <c:pt idx="3">
                  <c:v>1752</c:v>
                </c:pt>
                <c:pt idx="4">
                  <c:v>885</c:v>
                </c:pt>
                <c:pt idx="5">
                  <c:v>793</c:v>
                </c:pt>
                <c:pt idx="6">
                  <c:v>998</c:v>
                </c:pt>
                <c:pt idx="7">
                  <c:v>1199</c:v>
                </c:pt>
                <c:pt idx="8">
                  <c:v>1382</c:v>
                </c:pt>
                <c:pt idx="9">
                  <c:v>615</c:v>
                </c:pt>
                <c:pt idx="10">
                  <c:v>1075</c:v>
                </c:pt>
                <c:pt idx="11">
                  <c:v>1561</c:v>
                </c:pt>
                <c:pt idx="12">
                  <c:v>670</c:v>
                </c:pt>
                <c:pt idx="13">
                  <c:v>1153</c:v>
                </c:pt>
                <c:pt idx="14">
                  <c:v>897</c:v>
                </c:pt>
                <c:pt idx="15">
                  <c:v>893</c:v>
                </c:pt>
                <c:pt idx="16">
                  <c:v>726</c:v>
                </c:pt>
                <c:pt idx="17">
                  <c:v>581</c:v>
                </c:pt>
                <c:pt idx="18">
                  <c:v>1165</c:v>
                </c:pt>
                <c:pt idx="19">
                  <c:v>657</c:v>
                </c:pt>
                <c:pt idx="20">
                  <c:v>866</c:v>
                </c:pt>
                <c:pt idx="21">
                  <c:v>850</c:v>
                </c:pt>
                <c:pt idx="22">
                  <c:v>683</c:v>
                </c:pt>
                <c:pt idx="23">
                  <c:v>633</c:v>
                </c:pt>
                <c:pt idx="24">
                  <c:v>1192</c:v>
                </c:pt>
              </c:numCache>
            </c:numRef>
          </c:val>
        </c:ser>
        <c:ser>
          <c:idx val="1"/>
          <c:order val="1"/>
          <c:tx>
            <c:strRef>
              <c:f>Лист1!$C$1</c:f>
              <c:strCache>
                <c:ptCount val="1"/>
                <c:pt idx="0">
                  <c:v>2014-2015</c:v>
                </c:pt>
              </c:strCache>
            </c:strRef>
          </c:tx>
          <c:spPr>
            <a:solidFill>
              <a:schemeClr val="bg1">
                <a:lumMod val="95000"/>
              </a:schemeClr>
            </a:solidFill>
            <a:ln>
              <a:solidFill>
                <a:schemeClr val="tx1">
                  <a:lumMod val="95000"/>
                  <a:lumOff val="5000"/>
                </a:schemeClr>
              </a:solidFill>
            </a:ln>
          </c:spPr>
          <c:invertIfNegative val="0"/>
          <c:dLbls>
            <c:dLbl>
              <c:idx val="10"/>
              <c:layout>
                <c:manualLayout>
                  <c:x val="-3.4188034188034191E-2"/>
                  <c:y val="3.0434102297018165E-3"/>
                </c:manualLayout>
              </c:layout>
              <c:dLblPos val="outEnd"/>
              <c:showLegendKey val="0"/>
              <c:showVal val="1"/>
              <c:showCatName val="0"/>
              <c:showSerName val="0"/>
              <c:showPercent val="0"/>
              <c:showBubbleSize val="0"/>
            </c:dLbl>
            <c:txPr>
              <a:bodyPr/>
              <a:lstStyle/>
              <a:p>
                <a:pPr>
                  <a:defRPr b="1"/>
                </a:pPr>
                <a:endParaRPr lang="uk-UA"/>
              </a:p>
            </c:txPr>
            <c:dLblPos val="inEnd"/>
            <c:showLegendKey val="0"/>
            <c:showVal val="1"/>
            <c:showCatName val="0"/>
            <c:showSerName val="0"/>
            <c:showPercent val="0"/>
            <c:showBubbleSize val="0"/>
            <c:showLeaderLines val="0"/>
          </c:dLbls>
          <c:cat>
            <c:strRef>
              <c:f>Лист1!$A$2:$A$26</c:f>
              <c:strCache>
                <c:ptCount val="25"/>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 Київ</c:v>
                </c:pt>
              </c:strCache>
            </c:strRef>
          </c:cat>
          <c:val>
            <c:numRef>
              <c:f>Лист1!$C$2:$C$26</c:f>
              <c:numCache>
                <c:formatCode>General</c:formatCode>
                <c:ptCount val="25"/>
                <c:pt idx="0">
                  <c:v>875</c:v>
                </c:pt>
                <c:pt idx="1">
                  <c:v>725</c:v>
                </c:pt>
                <c:pt idx="2">
                  <c:v>1486</c:v>
                </c:pt>
                <c:pt idx="3">
                  <c:v>682</c:v>
                </c:pt>
                <c:pt idx="4">
                  <c:v>915</c:v>
                </c:pt>
                <c:pt idx="5">
                  <c:v>826</c:v>
                </c:pt>
                <c:pt idx="6">
                  <c:v>1005</c:v>
                </c:pt>
                <c:pt idx="7">
                  <c:v>1244</c:v>
                </c:pt>
                <c:pt idx="8">
                  <c:v>1387</c:v>
                </c:pt>
                <c:pt idx="9">
                  <c:v>623</c:v>
                </c:pt>
                <c:pt idx="10">
                  <c:v>333</c:v>
                </c:pt>
                <c:pt idx="11">
                  <c:v>1606</c:v>
                </c:pt>
                <c:pt idx="12">
                  <c:v>672</c:v>
                </c:pt>
                <c:pt idx="13">
                  <c:v>1132</c:v>
                </c:pt>
                <c:pt idx="14">
                  <c:v>904</c:v>
                </c:pt>
                <c:pt idx="15">
                  <c:v>919</c:v>
                </c:pt>
                <c:pt idx="16">
                  <c:v>717</c:v>
                </c:pt>
                <c:pt idx="17">
                  <c:v>577</c:v>
                </c:pt>
                <c:pt idx="18">
                  <c:v>1106</c:v>
                </c:pt>
                <c:pt idx="19">
                  <c:v>660</c:v>
                </c:pt>
                <c:pt idx="20">
                  <c:v>878</c:v>
                </c:pt>
                <c:pt idx="21">
                  <c:v>878</c:v>
                </c:pt>
                <c:pt idx="22">
                  <c:v>713</c:v>
                </c:pt>
                <c:pt idx="23">
                  <c:v>647</c:v>
                </c:pt>
                <c:pt idx="24">
                  <c:v>1195</c:v>
                </c:pt>
              </c:numCache>
            </c:numRef>
          </c:val>
        </c:ser>
        <c:dLbls>
          <c:showLegendKey val="0"/>
          <c:showVal val="0"/>
          <c:showCatName val="0"/>
          <c:showSerName val="0"/>
          <c:showPercent val="0"/>
          <c:showBubbleSize val="0"/>
        </c:dLbls>
        <c:gapWidth val="40"/>
        <c:overlap val="62"/>
        <c:axId val="66976384"/>
        <c:axId val="67064192"/>
      </c:barChart>
      <c:catAx>
        <c:axId val="66976384"/>
        <c:scaling>
          <c:orientation val="maxMin"/>
        </c:scaling>
        <c:delete val="0"/>
        <c:axPos val="l"/>
        <c:majorTickMark val="out"/>
        <c:minorTickMark val="none"/>
        <c:tickLblPos val="nextTo"/>
        <c:crossAx val="67064192"/>
        <c:crosses val="autoZero"/>
        <c:auto val="1"/>
        <c:lblAlgn val="ctr"/>
        <c:lblOffset val="100"/>
        <c:noMultiLvlLbl val="0"/>
      </c:catAx>
      <c:valAx>
        <c:axId val="67064192"/>
        <c:scaling>
          <c:orientation val="minMax"/>
        </c:scaling>
        <c:delete val="1"/>
        <c:axPos val="t"/>
        <c:numFmt formatCode="General" sourceLinked="1"/>
        <c:majorTickMark val="out"/>
        <c:minorTickMark val="none"/>
        <c:tickLblPos val="nextTo"/>
        <c:crossAx val="66976384"/>
        <c:crosses val="autoZero"/>
        <c:crossBetween val="between"/>
      </c:valAx>
    </c:plotArea>
    <c:legend>
      <c:legendPos val="t"/>
      <c:legendEntry>
        <c:idx val="1"/>
        <c:txPr>
          <a:bodyPr/>
          <a:lstStyle/>
          <a:p>
            <a:pPr>
              <a:defRPr b="1"/>
            </a:pPr>
            <a:endParaRPr lang="uk-UA"/>
          </a:p>
        </c:txPr>
      </c:legendEntry>
      <c:layout>
        <c:manualLayout>
          <c:xMode val="edge"/>
          <c:yMode val="edge"/>
          <c:x val="0.20883790968436639"/>
          <c:y val="1.6727388428133871E-2"/>
          <c:w val="0.47856881277818414"/>
          <c:h val="3.8848898225331351E-2"/>
        </c:manualLayout>
      </c:layout>
      <c:overlay val="0"/>
    </c:legend>
    <c:plotVisOnly val="1"/>
    <c:dispBlanksAs val="gap"/>
    <c:showDLblsOverMax val="0"/>
  </c:chart>
  <c:txPr>
    <a:bodyPr/>
    <a:lstStyle/>
    <a:p>
      <a:pPr>
        <a:defRPr sz="1400">
          <a:latin typeface="Times New Roman" pitchFamily="18" charset="0"/>
          <a:cs typeface="Times New Roman" pitchFamily="18" charset="0"/>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1840184776902886"/>
          <c:y val="4.6324521709009713E-2"/>
          <c:w val="0.65813148556430445"/>
          <c:h val="0.94100869173009505"/>
        </c:manualLayout>
      </c:layout>
      <c:barChart>
        <c:barDir val="bar"/>
        <c:grouping val="clustered"/>
        <c:varyColors val="0"/>
        <c:ser>
          <c:idx val="0"/>
          <c:order val="0"/>
          <c:tx>
            <c:strRef>
              <c:f>Лист2!$B$1</c:f>
              <c:strCache>
                <c:ptCount val="1"/>
                <c:pt idx="0">
                  <c:v>2013-2014</c:v>
                </c:pt>
              </c:strCache>
            </c:strRef>
          </c:tx>
          <c:invertIfNegative val="0"/>
          <c:dLbls>
            <c:dLbl>
              <c:idx val="0"/>
              <c:layout>
                <c:manualLayout>
                  <c:x val="-0.20137324180631266"/>
                  <c:y val="-8.0164054791310793E-3"/>
                </c:manualLayout>
              </c:layout>
              <c:dLblPos val="outEnd"/>
              <c:showLegendKey val="0"/>
              <c:showVal val="1"/>
              <c:showCatName val="0"/>
              <c:showSerName val="0"/>
              <c:showPercent val="0"/>
              <c:showBubbleSize val="0"/>
            </c:dLbl>
            <c:dLbl>
              <c:idx val="1"/>
              <c:layout>
                <c:manualLayout>
                  <c:x val="-0.24755316643111919"/>
                  <c:y val="-8.0160267513131756E-3"/>
                </c:manualLayout>
              </c:layout>
              <c:dLblPos val="outEnd"/>
              <c:showLegendKey val="0"/>
              <c:showVal val="1"/>
              <c:showCatName val="0"/>
              <c:showSerName val="0"/>
              <c:showPercent val="0"/>
              <c:showBubbleSize val="0"/>
            </c:dLbl>
            <c:dLbl>
              <c:idx val="2"/>
              <c:layout>
                <c:manualLayout>
                  <c:x val="-0.30005165219732149"/>
                  <c:y val="-6.4129981406988992E-3"/>
                </c:manualLayout>
              </c:layout>
              <c:dLblPos val="outEnd"/>
              <c:showLegendKey val="0"/>
              <c:showVal val="1"/>
              <c:showCatName val="0"/>
              <c:showSerName val="0"/>
              <c:showPercent val="0"/>
              <c:showBubbleSize val="0"/>
            </c:dLbl>
            <c:dLbl>
              <c:idx val="3"/>
              <c:layout>
                <c:manualLayout>
                  <c:x val="-0.25328302712160977"/>
                  <c:y val="-6.4128718980929287E-3"/>
                </c:manualLayout>
              </c:layout>
              <c:dLblPos val="outEnd"/>
              <c:showLegendKey val="0"/>
              <c:showVal val="1"/>
              <c:showCatName val="0"/>
              <c:showSerName val="0"/>
              <c:showPercent val="0"/>
              <c:showBubbleSize val="0"/>
            </c:dLbl>
            <c:dLbl>
              <c:idx val="4"/>
              <c:layout>
                <c:manualLayout>
                  <c:x val="-0.21543761356753482"/>
                  <c:y val="-4.8097170448726818E-3"/>
                </c:manualLayout>
              </c:layout>
              <c:dLblPos val="outEnd"/>
              <c:showLegendKey val="0"/>
              <c:showVal val="1"/>
              <c:showCatName val="0"/>
              <c:showSerName val="0"/>
              <c:showPercent val="0"/>
              <c:showBubbleSize val="0"/>
            </c:dLbl>
            <c:dLbl>
              <c:idx val="5"/>
              <c:layout>
                <c:manualLayout>
                  <c:x val="-0.22100780671646814"/>
                  <c:y val="-6.4129981406988992E-3"/>
                </c:manualLayout>
              </c:layout>
              <c:dLblPos val="outEnd"/>
              <c:showLegendKey val="0"/>
              <c:showVal val="1"/>
              <c:showCatName val="0"/>
              <c:showSerName val="0"/>
              <c:showPercent val="0"/>
              <c:showBubbleSize val="0"/>
            </c:dLbl>
            <c:dLbl>
              <c:idx val="6"/>
              <c:layout>
                <c:manualLayout>
                  <c:x val="-0.30721650178343091"/>
                  <c:y val="-8.016405479131088E-3"/>
                </c:manualLayout>
              </c:layout>
              <c:dLblPos val="outEnd"/>
              <c:showLegendKey val="0"/>
              <c:showVal val="1"/>
              <c:showCatName val="0"/>
              <c:showSerName val="0"/>
              <c:showPercent val="0"/>
              <c:showBubbleSize val="0"/>
            </c:dLbl>
            <c:dLbl>
              <c:idx val="7"/>
              <c:layout>
                <c:manualLayout>
                  <c:x val="-0.39367420418601523"/>
                  <c:y val="-8.016405479131088E-3"/>
                </c:manualLayout>
              </c:layout>
              <c:dLblPos val="outEnd"/>
              <c:showLegendKey val="0"/>
              <c:showVal val="1"/>
              <c:showCatName val="0"/>
              <c:showSerName val="0"/>
              <c:showPercent val="0"/>
              <c:showBubbleSize val="0"/>
            </c:dLbl>
            <c:dLbl>
              <c:idx val="8"/>
              <c:layout>
                <c:manualLayout>
                  <c:x val="-0.34624352244430984"/>
                  <c:y val="-8.016405479131088E-3"/>
                </c:manualLayout>
              </c:layout>
              <c:dLblPos val="outEnd"/>
              <c:showLegendKey val="0"/>
              <c:showVal val="1"/>
              <c:showCatName val="0"/>
              <c:showSerName val="0"/>
              <c:showPercent val="0"/>
              <c:showBubbleSize val="0"/>
            </c:dLbl>
            <c:dLbl>
              <c:idx val="9"/>
              <c:layout>
                <c:manualLayout>
                  <c:x val="-0.23312386432465174"/>
                  <c:y val="-8.0162792365251166E-3"/>
                </c:manualLayout>
              </c:layout>
              <c:dLblPos val="outEnd"/>
              <c:showLegendKey val="0"/>
              <c:showVal val="1"/>
              <c:showCatName val="0"/>
              <c:showSerName val="0"/>
              <c:showPercent val="0"/>
              <c:showBubbleSize val="0"/>
            </c:dLbl>
            <c:dLbl>
              <c:idx val="10"/>
              <c:layout>
                <c:manualLayout>
                  <c:x val="-0.29038764385221078"/>
                  <c:y val="-8.016405479131088E-3"/>
                </c:manualLayout>
              </c:layout>
              <c:dLblPos val="outEnd"/>
              <c:showLegendKey val="0"/>
              <c:showVal val="1"/>
              <c:showCatName val="0"/>
              <c:showSerName val="0"/>
              <c:showPercent val="0"/>
              <c:showBubbleSize val="0"/>
            </c:dLbl>
            <c:dLbl>
              <c:idx val="11"/>
              <c:layout>
                <c:manualLayout>
                  <c:x val="-0.24831314354936401"/>
                  <c:y val="-6.4129981406988992E-3"/>
                </c:manualLayout>
              </c:layout>
              <c:dLblPos val="outEnd"/>
              <c:showLegendKey val="0"/>
              <c:showVal val="1"/>
              <c:showCatName val="0"/>
              <c:showSerName val="0"/>
              <c:showPercent val="0"/>
              <c:showBubbleSize val="0"/>
            </c:dLbl>
            <c:dLbl>
              <c:idx val="12"/>
              <c:layout>
                <c:manualLayout>
                  <c:x val="-0.19887913049330372"/>
                  <c:y val="-8.0162792365251756E-3"/>
                </c:manualLayout>
              </c:layout>
              <c:dLblPos val="outEnd"/>
              <c:showLegendKey val="0"/>
              <c:showVal val="1"/>
              <c:showCatName val="0"/>
              <c:showSerName val="0"/>
              <c:showPercent val="0"/>
              <c:showBubbleSize val="0"/>
            </c:dLbl>
            <c:dLbl>
              <c:idx val="13"/>
              <c:layout>
                <c:manualLayout>
                  <c:x val="-0.24217376674069588"/>
                  <c:y val="-8.016405479131088E-3"/>
                </c:manualLayout>
              </c:layout>
              <c:dLblPos val="outEnd"/>
              <c:showLegendKey val="0"/>
              <c:showVal val="1"/>
              <c:showCatName val="0"/>
              <c:showSerName val="0"/>
              <c:showPercent val="0"/>
              <c:showBubbleSize val="0"/>
            </c:dLbl>
            <c:dLbl>
              <c:idx val="14"/>
              <c:layout>
                <c:manualLayout>
                  <c:x val="-0.21980971128608923"/>
                  <c:y val="-8.016405479131088E-3"/>
                </c:manualLayout>
              </c:layout>
              <c:dLblPos val="outEnd"/>
              <c:showLegendKey val="0"/>
              <c:showVal val="1"/>
              <c:showCatName val="0"/>
              <c:showSerName val="0"/>
              <c:showPercent val="0"/>
              <c:showBubbleSize val="0"/>
            </c:dLbl>
            <c:dLbl>
              <c:idx val="15"/>
              <c:layout>
                <c:manualLayout>
                  <c:x val="-0.30681539807524061"/>
                  <c:y val="-8.016405479131088E-3"/>
                </c:manualLayout>
              </c:layout>
              <c:dLblPos val="outEnd"/>
              <c:showLegendKey val="0"/>
              <c:showVal val="1"/>
              <c:showCatName val="0"/>
              <c:showSerName val="0"/>
              <c:showPercent val="0"/>
              <c:showBubbleSize val="0"/>
            </c:dLbl>
            <c:dLbl>
              <c:idx val="16"/>
              <c:layout>
                <c:manualLayout>
                  <c:x val="-0.35507352446328827"/>
                  <c:y val="-8.016405479131088E-3"/>
                </c:manualLayout>
              </c:layout>
              <c:dLblPos val="outEnd"/>
              <c:showLegendKey val="0"/>
              <c:showVal val="1"/>
              <c:showCatName val="0"/>
              <c:showSerName val="0"/>
              <c:showPercent val="0"/>
              <c:showBubbleSize val="0"/>
            </c:dLbl>
            <c:dLbl>
              <c:idx val="17"/>
              <c:layout>
                <c:manualLayout>
                  <c:x val="-0.15465391345312604"/>
                  <c:y val="-6.4131243833048697E-3"/>
                </c:manualLayout>
              </c:layout>
              <c:dLblPos val="outEnd"/>
              <c:showLegendKey val="0"/>
              <c:showVal val="1"/>
              <c:showCatName val="0"/>
              <c:showSerName val="0"/>
              <c:showPercent val="0"/>
              <c:showBubbleSize val="0"/>
            </c:dLbl>
            <c:dLbl>
              <c:idx val="18"/>
              <c:layout>
                <c:manualLayout>
                  <c:x val="-0.27042331247055656"/>
                  <c:y val="-8.016405479131088E-3"/>
                </c:manualLayout>
              </c:layout>
              <c:dLblPos val="outEnd"/>
              <c:showLegendKey val="0"/>
              <c:showVal val="1"/>
              <c:showCatName val="0"/>
              <c:showSerName val="0"/>
              <c:showPercent val="0"/>
              <c:showBubbleSize val="0"/>
            </c:dLbl>
            <c:dLbl>
              <c:idx val="19"/>
              <c:layout>
                <c:manualLayout>
                  <c:x val="-0.22820714718352514"/>
                  <c:y val="-8.016405479131088E-3"/>
                </c:manualLayout>
              </c:layout>
              <c:dLblPos val="outEnd"/>
              <c:showLegendKey val="0"/>
              <c:showVal val="1"/>
              <c:showCatName val="0"/>
              <c:showSerName val="0"/>
              <c:showPercent val="0"/>
              <c:showBubbleSize val="0"/>
            </c:dLbl>
            <c:dLbl>
              <c:idx val="20"/>
              <c:layout>
                <c:manualLayout>
                  <c:x val="-0.22964886600713372"/>
                  <c:y val="-8.016405479131088E-3"/>
                </c:manualLayout>
              </c:layout>
              <c:dLblPos val="outEnd"/>
              <c:showLegendKey val="0"/>
              <c:showVal val="1"/>
              <c:showCatName val="0"/>
              <c:showSerName val="0"/>
              <c:showPercent val="0"/>
              <c:showBubbleSize val="0"/>
            </c:dLbl>
            <c:dLbl>
              <c:idx val="21"/>
              <c:layout>
                <c:manualLayout>
                  <c:x val="-0.296179588128407"/>
                  <c:y val="-8.016405479131088E-3"/>
                </c:manualLayout>
              </c:layout>
              <c:dLblPos val="outEnd"/>
              <c:showLegendKey val="0"/>
              <c:showVal val="1"/>
              <c:showCatName val="0"/>
              <c:showSerName val="0"/>
              <c:showPercent val="0"/>
              <c:showBubbleSize val="0"/>
            </c:dLbl>
            <c:dLbl>
              <c:idx val="22"/>
              <c:layout>
                <c:manualLayout>
                  <c:x val="-0.35614072279426612"/>
                  <c:y val="-8.016405479131088E-3"/>
                </c:manualLayout>
              </c:layout>
              <c:dLblPos val="outEnd"/>
              <c:showLegendKey val="0"/>
              <c:showVal val="1"/>
              <c:showCatName val="0"/>
              <c:showSerName val="0"/>
              <c:showPercent val="0"/>
              <c:showBubbleSize val="0"/>
            </c:dLbl>
            <c:dLbl>
              <c:idx val="23"/>
              <c:layout>
                <c:manualLayout>
                  <c:x val="-0.22326502456423716"/>
                  <c:y val="-8.016405479131088E-3"/>
                </c:manualLayout>
              </c:layout>
              <c:dLblPos val="outEnd"/>
              <c:showLegendKey val="0"/>
              <c:showVal val="1"/>
              <c:showCatName val="0"/>
              <c:showSerName val="0"/>
              <c:showPercent val="0"/>
              <c:showBubbleSize val="0"/>
            </c:dLbl>
            <c:dLbl>
              <c:idx val="24"/>
              <c:layout>
                <c:manualLayout>
                  <c:x val="-0.4046598021401171"/>
                  <c:y val="-8.016405479131088E-3"/>
                </c:manualLayout>
              </c:layout>
              <c:dLblPos val="outEnd"/>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uk-UA"/>
              </a:p>
            </c:txPr>
            <c:dLblPos val="ctr"/>
            <c:showLegendKey val="0"/>
            <c:showVal val="1"/>
            <c:showCatName val="0"/>
            <c:showSerName val="0"/>
            <c:showPercent val="0"/>
            <c:showBubbleSize val="0"/>
            <c:showLeaderLines val="0"/>
          </c:dLbls>
          <c:cat>
            <c:strRef>
              <c:f>Лист2!$A$2:$A$26</c:f>
              <c:strCache>
                <c:ptCount val="25"/>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 Київ</c:v>
                </c:pt>
              </c:strCache>
            </c:strRef>
          </c:cat>
          <c:val>
            <c:numRef>
              <c:f>Лист2!$B$2:$B$26</c:f>
              <c:numCache>
                <c:formatCode>0.0%</c:formatCode>
                <c:ptCount val="25"/>
                <c:pt idx="0">
                  <c:v>0.43340221679504037</c:v>
                </c:pt>
                <c:pt idx="1">
                  <c:v>0.50231124807395999</c:v>
                </c:pt>
                <c:pt idx="2">
                  <c:v>0.58392894220786706</c:v>
                </c:pt>
                <c:pt idx="3">
                  <c:v>0.51323035072379286</c:v>
                </c:pt>
                <c:pt idx="4">
                  <c:v>0.45016872890888637</c:v>
                </c:pt>
                <c:pt idx="5">
                  <c:v>0.46709625126646404</c:v>
                </c:pt>
                <c:pt idx="6">
                  <c:v>0.59920879120879122</c:v>
                </c:pt>
                <c:pt idx="7">
                  <c:v>0.72558459422283361</c:v>
                </c:pt>
                <c:pt idx="8">
                  <c:v>0.65287400812850782</c:v>
                </c:pt>
                <c:pt idx="9">
                  <c:v>0.48443579766536965</c:v>
                </c:pt>
                <c:pt idx="10">
                  <c:v>0.5740409683426444</c:v>
                </c:pt>
                <c:pt idx="11">
                  <c:v>0.51111408677021963</c:v>
                </c:pt>
                <c:pt idx="12">
                  <c:v>0.4323164918970448</c:v>
                </c:pt>
                <c:pt idx="13">
                  <c:v>0.49895083932853718</c:v>
                </c:pt>
                <c:pt idx="14">
                  <c:v>0.46345549738219893</c:v>
                </c:pt>
                <c:pt idx="15">
                  <c:v>0.59798994974874375</c:v>
                </c:pt>
                <c:pt idx="16">
                  <c:v>0.67321428571428577</c:v>
                </c:pt>
                <c:pt idx="17">
                  <c:v>0.36285380116959065</c:v>
                </c:pt>
                <c:pt idx="18">
                  <c:v>0.54583806587700801</c:v>
                </c:pt>
                <c:pt idx="19">
                  <c:v>0.48248095756256798</c:v>
                </c:pt>
                <c:pt idx="20">
                  <c:v>0.48686214775323688</c:v>
                </c:pt>
                <c:pt idx="21">
                  <c:v>0.58514851485148511</c:v>
                </c:pt>
                <c:pt idx="22">
                  <c:v>0.67645747053201655</c:v>
                </c:pt>
                <c:pt idx="23">
                  <c:v>0.47395550732501357</c:v>
                </c:pt>
                <c:pt idx="24">
                  <c:v>0.75247524752475248</c:v>
                </c:pt>
              </c:numCache>
            </c:numRef>
          </c:val>
        </c:ser>
        <c:ser>
          <c:idx val="1"/>
          <c:order val="1"/>
          <c:tx>
            <c:strRef>
              <c:f>Лист2!$C$1</c:f>
              <c:strCache>
                <c:ptCount val="1"/>
                <c:pt idx="0">
                  <c:v>2014-2015</c:v>
                </c:pt>
              </c:strCache>
            </c:strRef>
          </c:tx>
          <c:spPr>
            <a:solidFill>
              <a:schemeClr val="bg1">
                <a:lumMod val="95000"/>
              </a:schemeClr>
            </a:solidFill>
            <a:ln>
              <a:solidFill>
                <a:schemeClr val="tx1">
                  <a:lumMod val="85000"/>
                  <a:lumOff val="15000"/>
                </a:schemeClr>
              </a:solidFill>
            </a:ln>
          </c:spPr>
          <c:invertIfNegative val="0"/>
          <c:dLbls>
            <c:dLbl>
              <c:idx val="17"/>
              <c:layout>
                <c:manualLayout>
                  <c:x val="-8.11965811965812E-2"/>
                  <c:y val="0"/>
                </c:manualLayout>
              </c:layout>
              <c:dLblPos val="outEnd"/>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uk-UA"/>
              </a:p>
            </c:txPr>
            <c:dLblPos val="inEnd"/>
            <c:showLegendKey val="0"/>
            <c:showVal val="1"/>
            <c:showCatName val="0"/>
            <c:showSerName val="0"/>
            <c:showPercent val="0"/>
            <c:showBubbleSize val="0"/>
            <c:showLeaderLines val="0"/>
          </c:dLbls>
          <c:cat>
            <c:strRef>
              <c:f>Лист2!$A$2:$A$26</c:f>
              <c:strCache>
                <c:ptCount val="25"/>
                <c:pt idx="0">
                  <c:v>Вінницька</c:v>
                </c:pt>
                <c:pt idx="1">
                  <c:v>Волинська</c:v>
                </c:pt>
                <c:pt idx="2">
                  <c:v>Дніпропетровська</c:v>
                </c:pt>
                <c:pt idx="3">
                  <c:v>Донецька</c:v>
                </c:pt>
                <c:pt idx="4">
                  <c:v>Житомирська</c:v>
                </c:pt>
                <c:pt idx="5">
                  <c:v>Закарпатська</c:v>
                </c:pt>
                <c:pt idx="6">
                  <c:v>Запорізька</c:v>
                </c:pt>
                <c:pt idx="7">
                  <c:v>Івано-Франківська</c:v>
                </c:pt>
                <c:pt idx="8">
                  <c:v>Київська</c:v>
                </c:pt>
                <c:pt idx="9">
                  <c:v>Кіровоградська</c:v>
                </c:pt>
                <c:pt idx="10">
                  <c:v>Луганська</c:v>
                </c:pt>
                <c:pt idx="11">
                  <c:v>Львівська</c:v>
                </c:pt>
                <c:pt idx="12">
                  <c:v>Миколаївська</c:v>
                </c:pt>
                <c:pt idx="13">
                  <c:v>Одеська</c:v>
                </c:pt>
                <c:pt idx="14">
                  <c:v>Полтавська</c:v>
                </c:pt>
                <c:pt idx="15">
                  <c:v>Рівненська</c:v>
                </c:pt>
                <c:pt idx="16">
                  <c:v>Сумська</c:v>
                </c:pt>
                <c:pt idx="17">
                  <c:v>Тернопільська</c:v>
                </c:pt>
                <c:pt idx="18">
                  <c:v>Харківська</c:v>
                </c:pt>
                <c:pt idx="19">
                  <c:v>Херсонська</c:v>
                </c:pt>
                <c:pt idx="20">
                  <c:v>Хмельницька</c:v>
                </c:pt>
                <c:pt idx="21">
                  <c:v>Черкаська</c:v>
                </c:pt>
                <c:pt idx="22">
                  <c:v>Чернівецька</c:v>
                </c:pt>
                <c:pt idx="23">
                  <c:v>Чернігівська</c:v>
                </c:pt>
                <c:pt idx="24">
                  <c:v>м. Київ</c:v>
                </c:pt>
              </c:strCache>
            </c:strRef>
          </c:cat>
          <c:val>
            <c:numRef>
              <c:f>Лист2!$C$2:$C$26</c:f>
              <c:numCache>
                <c:formatCode>0.0%</c:formatCode>
                <c:ptCount val="25"/>
                <c:pt idx="0">
                  <c:v>0.45305738476011287</c:v>
                </c:pt>
                <c:pt idx="1">
                  <c:v>0.50495703899537348</c:v>
                </c:pt>
                <c:pt idx="2">
                  <c:v>0.59681573402013577</c:v>
                </c:pt>
                <c:pt idx="3">
                  <c:v>0.46196451752488099</c:v>
                </c:pt>
                <c:pt idx="4">
                  <c:v>0.42471701614399704</c:v>
                </c:pt>
                <c:pt idx="5">
                  <c:v>0.49576533774013631</c:v>
                </c:pt>
                <c:pt idx="6">
                  <c:v>0.62736939435968564</c:v>
                </c:pt>
                <c:pt idx="7">
                  <c:v>0.7369258753979081</c:v>
                </c:pt>
                <c:pt idx="8">
                  <c:v>0.66792159906850379</c:v>
                </c:pt>
                <c:pt idx="9">
                  <c:v>0.58268374164810688</c:v>
                </c:pt>
                <c:pt idx="10">
                  <c:v>0.50462519936204153</c:v>
                </c:pt>
                <c:pt idx="11">
                  <c:v>0.48380355276907</c:v>
                </c:pt>
                <c:pt idx="12">
                  <c:v>0.43684461391801716</c:v>
                </c:pt>
                <c:pt idx="13">
                  <c:v>0.51754789272030655</c:v>
                </c:pt>
                <c:pt idx="14">
                  <c:v>0.47347844643619297</c:v>
                </c:pt>
                <c:pt idx="15">
                  <c:v>0.59947830211050512</c:v>
                </c:pt>
                <c:pt idx="16">
                  <c:v>0.66299493896993156</c:v>
                </c:pt>
                <c:pt idx="17">
                  <c:v>0.36560359083392391</c:v>
                </c:pt>
                <c:pt idx="18">
                  <c:v>0.52798961544702261</c:v>
                </c:pt>
                <c:pt idx="19">
                  <c:v>0.46696381751442056</c:v>
                </c:pt>
                <c:pt idx="20">
                  <c:v>0.50692412716988489</c:v>
                </c:pt>
                <c:pt idx="21">
                  <c:v>0.57493796526054586</c:v>
                </c:pt>
                <c:pt idx="22">
                  <c:v>0.65921219822109267</c:v>
                </c:pt>
                <c:pt idx="23">
                  <c:v>0.47674418604651164</c:v>
                </c:pt>
                <c:pt idx="24">
                  <c:v>0.81020117862223129</c:v>
                </c:pt>
              </c:numCache>
            </c:numRef>
          </c:val>
        </c:ser>
        <c:dLbls>
          <c:showLegendKey val="0"/>
          <c:showVal val="0"/>
          <c:showCatName val="0"/>
          <c:showSerName val="0"/>
          <c:showPercent val="0"/>
          <c:showBubbleSize val="0"/>
        </c:dLbls>
        <c:gapWidth val="46"/>
        <c:overlap val="66"/>
        <c:axId val="67093248"/>
        <c:axId val="67094784"/>
      </c:barChart>
      <c:catAx>
        <c:axId val="67093248"/>
        <c:scaling>
          <c:orientation val="maxMin"/>
        </c:scaling>
        <c:delete val="0"/>
        <c:axPos val="l"/>
        <c:majorTickMark val="out"/>
        <c:minorTickMark val="none"/>
        <c:tickLblPos val="nextTo"/>
        <c:txPr>
          <a:bodyPr/>
          <a:lstStyle/>
          <a:p>
            <a:pPr>
              <a:defRPr sz="1400">
                <a:latin typeface="Times New Roman" pitchFamily="18" charset="0"/>
                <a:cs typeface="Times New Roman" pitchFamily="18" charset="0"/>
              </a:defRPr>
            </a:pPr>
            <a:endParaRPr lang="uk-UA"/>
          </a:p>
        </c:txPr>
        <c:crossAx val="67094784"/>
        <c:crosses val="autoZero"/>
        <c:auto val="1"/>
        <c:lblAlgn val="ctr"/>
        <c:lblOffset val="100"/>
        <c:noMultiLvlLbl val="0"/>
      </c:catAx>
      <c:valAx>
        <c:axId val="67094784"/>
        <c:scaling>
          <c:orientation val="minMax"/>
        </c:scaling>
        <c:delete val="1"/>
        <c:axPos val="t"/>
        <c:numFmt formatCode="0.0%" sourceLinked="1"/>
        <c:majorTickMark val="out"/>
        <c:minorTickMark val="none"/>
        <c:tickLblPos val="nextTo"/>
        <c:crossAx val="67093248"/>
        <c:crosses val="autoZero"/>
        <c:crossBetween val="between"/>
      </c:valAx>
    </c:plotArea>
    <c:legend>
      <c:legendPos val="t"/>
      <c:legendEntry>
        <c:idx val="1"/>
        <c:txPr>
          <a:bodyPr/>
          <a:lstStyle/>
          <a:p>
            <a:pPr>
              <a:defRPr sz="1400" b="1">
                <a:latin typeface="Times New Roman" pitchFamily="18" charset="0"/>
                <a:cs typeface="Times New Roman" pitchFamily="18" charset="0"/>
              </a:defRPr>
            </a:pPr>
            <a:endParaRPr lang="uk-UA"/>
          </a:p>
        </c:txPr>
      </c:legendEntry>
      <c:overlay val="0"/>
      <c:txPr>
        <a:bodyPr/>
        <a:lstStyle/>
        <a:p>
          <a:pPr>
            <a:defRPr sz="1400">
              <a:latin typeface="Times New Roman" pitchFamily="18" charset="0"/>
              <a:cs typeface="Times New Roman" pitchFamily="18" charset="0"/>
            </a:defRPr>
          </a:pPr>
          <a:endParaRPr lang="uk-UA"/>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0.63685</cdr:x>
      <cdr:y>0.06099</cdr:y>
    </cdr:from>
    <cdr:to>
      <cdr:x>0.71914</cdr:x>
      <cdr:y>0.09424</cdr:y>
    </cdr:to>
    <cdr:sp macro="" textlink="">
      <cdr:nvSpPr>
        <cdr:cNvPr id="4" name="Прямоугольник 3"/>
        <cdr:cNvSpPr/>
      </cdr:nvSpPr>
      <cdr:spPr>
        <a:xfrm xmlns:a="http://schemas.openxmlformats.org/drawingml/2006/main">
          <a:off x="3785188" y="492814"/>
          <a:ext cx="489099" cy="268673"/>
        </a:xfrm>
        <a:prstGeom xmlns:a="http://schemas.openxmlformats.org/drawingml/2006/main" prst="rect">
          <a:avLst/>
        </a:prstGeom>
        <a:ln xmlns:a="http://schemas.openxmlformats.org/drawingml/2006/main" w="9525">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14</a:t>
          </a:r>
        </a:p>
      </cdr:txBody>
    </cdr:sp>
  </cdr:relSizeAnchor>
  <cdr:relSizeAnchor xmlns:cdr="http://schemas.openxmlformats.org/drawingml/2006/chartDrawing">
    <cdr:from>
      <cdr:x>0.62433</cdr:x>
      <cdr:y>0.12069</cdr:y>
    </cdr:from>
    <cdr:to>
      <cdr:x>0.77818</cdr:x>
      <cdr:y>0.22661</cdr:y>
    </cdr:to>
    <cdr:sp macro="" textlink="">
      <cdr:nvSpPr>
        <cdr:cNvPr id="29" name="Поле 28"/>
        <cdr:cNvSpPr txBox="1"/>
      </cdr:nvSpPr>
      <cdr:spPr>
        <a:xfrm xmlns:a="http://schemas.openxmlformats.org/drawingml/2006/main">
          <a:off x="3710763" y="104199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0.60107</cdr:x>
      <cdr:y>0.10303</cdr:y>
    </cdr:from>
    <cdr:to>
      <cdr:x>0.6762</cdr:x>
      <cdr:y>0.13816</cdr:y>
    </cdr:to>
    <cdr:sp macro="" textlink="">
      <cdr:nvSpPr>
        <cdr:cNvPr id="31" name="Прямоугольник 30"/>
        <cdr:cNvSpPr/>
      </cdr:nvSpPr>
      <cdr:spPr>
        <a:xfrm xmlns:a="http://schemas.openxmlformats.org/drawingml/2006/main">
          <a:off x="3572547" y="832527"/>
          <a:ext cx="446543" cy="283892"/>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10</a:t>
          </a:r>
        </a:p>
      </cdr:txBody>
    </cdr:sp>
  </cdr:relSizeAnchor>
  <cdr:relSizeAnchor xmlns:cdr="http://schemas.openxmlformats.org/drawingml/2006/chartDrawing">
    <cdr:from>
      <cdr:x>0.83721</cdr:x>
      <cdr:y>0.1325</cdr:y>
    </cdr:from>
    <cdr:to>
      <cdr:x>0.92487</cdr:x>
      <cdr:y>0.16821</cdr:y>
    </cdr:to>
    <cdr:sp macro="" textlink="">
      <cdr:nvSpPr>
        <cdr:cNvPr id="33" name="Прямоугольник 32"/>
        <cdr:cNvSpPr/>
      </cdr:nvSpPr>
      <cdr:spPr>
        <a:xfrm xmlns:a="http://schemas.openxmlformats.org/drawingml/2006/main">
          <a:off x="4976041" y="1070689"/>
          <a:ext cx="521016" cy="288550"/>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-23</a:t>
          </a:r>
          <a:endParaRPr lang="uk-UA" sz="1800" b="1">
            <a:latin typeface="Times New Roman" pitchFamily="18" charset="0"/>
            <a:cs typeface="Times New Roman" pitchFamily="18" charset="0"/>
          </a:endParaRPr>
        </a:p>
      </cdr:txBody>
    </cdr:sp>
  </cdr:relSizeAnchor>
  <cdr:relSizeAnchor xmlns:cdr="http://schemas.openxmlformats.org/drawingml/2006/chartDrawing">
    <cdr:from>
      <cdr:x>0.8873</cdr:x>
      <cdr:y>0.16995</cdr:y>
    </cdr:from>
    <cdr:to>
      <cdr:x>1</cdr:x>
      <cdr:y>0.21306</cdr:y>
    </cdr:to>
    <cdr:sp macro="" textlink="">
      <cdr:nvSpPr>
        <cdr:cNvPr id="34" name="Прямоугольник 33"/>
        <cdr:cNvSpPr/>
      </cdr:nvSpPr>
      <cdr:spPr>
        <a:xfrm xmlns:a="http://schemas.openxmlformats.org/drawingml/2006/main">
          <a:off x="5273750" y="1467292"/>
          <a:ext cx="669850" cy="372140"/>
        </a:xfrm>
        <a:prstGeom xmlns:a="http://schemas.openxmlformats.org/drawingml/2006/main" prst="rect">
          <a:avLst/>
        </a:prstGeom>
        <a:ln xmlns:a="http://schemas.openxmlformats.org/drawingml/2006/main" w="9525">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-1070</a:t>
          </a:r>
        </a:p>
      </cdr:txBody>
    </cdr:sp>
  </cdr:relSizeAnchor>
  <cdr:relSizeAnchor xmlns:cdr="http://schemas.openxmlformats.org/drawingml/2006/chartDrawing">
    <cdr:from>
      <cdr:x>0.64043</cdr:x>
      <cdr:y>0.2106</cdr:y>
    </cdr:from>
    <cdr:to>
      <cdr:x>0.71735</cdr:x>
      <cdr:y>0.25001</cdr:y>
    </cdr:to>
    <cdr:sp macro="" textlink="">
      <cdr:nvSpPr>
        <cdr:cNvPr id="35" name="Скругленный прямоугольник 34"/>
        <cdr:cNvSpPr/>
      </cdr:nvSpPr>
      <cdr:spPr>
        <a:xfrm xmlns:a="http://schemas.openxmlformats.org/drawingml/2006/main">
          <a:off x="3806456" y="1818167"/>
          <a:ext cx="457200" cy="340242"/>
        </a:xfrm>
        <a:prstGeom xmlns:a="http://schemas.openxmlformats.org/drawingml/2006/main" prst="round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30</a:t>
          </a:r>
        </a:p>
      </cdr:txBody>
    </cdr:sp>
  </cdr:relSizeAnchor>
  <cdr:relSizeAnchor xmlns:cdr="http://schemas.openxmlformats.org/drawingml/2006/chartDrawing">
    <cdr:from>
      <cdr:x>0.62433</cdr:x>
      <cdr:y>0.24712</cdr:y>
    </cdr:from>
    <cdr:to>
      <cdr:x>0.70662</cdr:x>
      <cdr:y>0.27914</cdr:y>
    </cdr:to>
    <cdr:sp macro="" textlink="">
      <cdr:nvSpPr>
        <cdr:cNvPr id="36" name="Прямоугольник 35"/>
        <cdr:cNvSpPr/>
      </cdr:nvSpPr>
      <cdr:spPr>
        <a:xfrm xmlns:a="http://schemas.openxmlformats.org/drawingml/2006/main">
          <a:off x="3710768" y="1996828"/>
          <a:ext cx="489099" cy="258734"/>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33</a:t>
          </a:r>
        </a:p>
      </cdr:txBody>
    </cdr:sp>
  </cdr:relSizeAnchor>
  <cdr:relSizeAnchor xmlns:cdr="http://schemas.openxmlformats.org/drawingml/2006/chartDrawing">
    <cdr:from>
      <cdr:x>0.67442</cdr:x>
      <cdr:y>0.28151</cdr:y>
    </cdr:from>
    <cdr:to>
      <cdr:x>0.76565</cdr:x>
      <cdr:y>0.316</cdr:y>
    </cdr:to>
    <cdr:sp macro="" textlink="">
      <cdr:nvSpPr>
        <cdr:cNvPr id="37" name="Прямоугольник 36"/>
        <cdr:cNvSpPr/>
      </cdr:nvSpPr>
      <cdr:spPr>
        <a:xfrm xmlns:a="http://schemas.openxmlformats.org/drawingml/2006/main">
          <a:off x="4008496" y="2274746"/>
          <a:ext cx="542234" cy="278692"/>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7</a:t>
          </a:r>
        </a:p>
      </cdr:txBody>
    </cdr:sp>
  </cdr:relSizeAnchor>
  <cdr:relSizeAnchor xmlns:cdr="http://schemas.openxmlformats.org/drawingml/2006/chartDrawing">
    <cdr:from>
      <cdr:x>0.75671</cdr:x>
      <cdr:y>0.32267</cdr:y>
    </cdr:from>
    <cdr:to>
      <cdr:x>0.84973</cdr:x>
      <cdr:y>0.35961</cdr:y>
    </cdr:to>
    <cdr:sp macro="" textlink="">
      <cdr:nvSpPr>
        <cdr:cNvPr id="38" name="Прямоугольник 37"/>
        <cdr:cNvSpPr/>
      </cdr:nvSpPr>
      <cdr:spPr>
        <a:xfrm xmlns:a="http://schemas.openxmlformats.org/drawingml/2006/main">
          <a:off x="4497572" y="2785730"/>
          <a:ext cx="552893" cy="318977"/>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45</a:t>
          </a:r>
        </a:p>
      </cdr:txBody>
    </cdr:sp>
  </cdr:relSizeAnchor>
  <cdr:relSizeAnchor xmlns:cdr="http://schemas.openxmlformats.org/drawingml/2006/chartDrawing">
    <cdr:from>
      <cdr:x>0.80501</cdr:x>
      <cdr:y>0.35961</cdr:y>
    </cdr:from>
    <cdr:to>
      <cdr:x>0.88551</cdr:x>
      <cdr:y>0.3941</cdr:y>
    </cdr:to>
    <cdr:sp macro="" textlink="">
      <cdr:nvSpPr>
        <cdr:cNvPr id="39" name="Прямоугольник 38"/>
        <cdr:cNvSpPr/>
      </cdr:nvSpPr>
      <cdr:spPr>
        <a:xfrm xmlns:a="http://schemas.openxmlformats.org/drawingml/2006/main">
          <a:off x="4784651" y="3104707"/>
          <a:ext cx="478465" cy="297712"/>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5</a:t>
          </a:r>
        </a:p>
      </cdr:txBody>
    </cdr:sp>
  </cdr:relSizeAnchor>
  <cdr:relSizeAnchor xmlns:cdr="http://schemas.openxmlformats.org/drawingml/2006/chartDrawing">
    <cdr:from>
      <cdr:x>0.56172</cdr:x>
      <cdr:y>0.39533</cdr:y>
    </cdr:from>
    <cdr:to>
      <cdr:x>0.6458</cdr:x>
      <cdr:y>0.42981</cdr:y>
    </cdr:to>
    <cdr:sp macro="" textlink="">
      <cdr:nvSpPr>
        <cdr:cNvPr id="40" name="Прямоугольник 39"/>
        <cdr:cNvSpPr/>
      </cdr:nvSpPr>
      <cdr:spPr>
        <a:xfrm xmlns:a="http://schemas.openxmlformats.org/drawingml/2006/main">
          <a:off x="3338623" y="3413051"/>
          <a:ext cx="499730" cy="297712"/>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8</a:t>
          </a:r>
        </a:p>
      </cdr:txBody>
    </cdr:sp>
  </cdr:relSizeAnchor>
  <cdr:relSizeAnchor xmlns:cdr="http://schemas.openxmlformats.org/drawingml/2006/chartDrawing">
    <cdr:from>
      <cdr:x>0.70304</cdr:x>
      <cdr:y>0.42981</cdr:y>
    </cdr:from>
    <cdr:to>
      <cdr:x>0.81753</cdr:x>
      <cdr:y>0.4643</cdr:y>
    </cdr:to>
    <cdr:sp macro="" textlink="">
      <cdr:nvSpPr>
        <cdr:cNvPr id="41" name="Прямоугольник 40"/>
        <cdr:cNvSpPr/>
      </cdr:nvSpPr>
      <cdr:spPr>
        <a:xfrm xmlns:a="http://schemas.openxmlformats.org/drawingml/2006/main">
          <a:off x="4178595" y="3710763"/>
          <a:ext cx="680483" cy="297711"/>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-742</a:t>
          </a:r>
        </a:p>
      </cdr:txBody>
    </cdr:sp>
  </cdr:relSizeAnchor>
  <cdr:relSizeAnchor xmlns:cdr="http://schemas.openxmlformats.org/drawingml/2006/chartDrawing">
    <cdr:from>
      <cdr:x>0.88193</cdr:x>
      <cdr:y>0.46676</cdr:y>
    </cdr:from>
    <cdr:to>
      <cdr:x>0.96959</cdr:x>
      <cdr:y>0.50617</cdr:y>
    </cdr:to>
    <cdr:sp macro="" textlink="">
      <cdr:nvSpPr>
        <cdr:cNvPr id="42" name="Прямоугольник 41"/>
        <cdr:cNvSpPr/>
      </cdr:nvSpPr>
      <cdr:spPr>
        <a:xfrm xmlns:a="http://schemas.openxmlformats.org/drawingml/2006/main">
          <a:off x="5241851" y="4029740"/>
          <a:ext cx="520995" cy="340242"/>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45</a:t>
          </a:r>
        </a:p>
      </cdr:txBody>
    </cdr:sp>
  </cdr:relSizeAnchor>
  <cdr:relSizeAnchor xmlns:cdr="http://schemas.openxmlformats.org/drawingml/2006/chartDrawing">
    <cdr:from>
      <cdr:x>0.5814</cdr:x>
      <cdr:y>0.50863</cdr:y>
    </cdr:from>
    <cdr:to>
      <cdr:x>0.65832</cdr:x>
      <cdr:y>0.54065</cdr:y>
    </cdr:to>
    <cdr:sp macro="" textlink="">
      <cdr:nvSpPr>
        <cdr:cNvPr id="43" name="Прямоугольник 42"/>
        <cdr:cNvSpPr/>
      </cdr:nvSpPr>
      <cdr:spPr>
        <a:xfrm xmlns:a="http://schemas.openxmlformats.org/drawingml/2006/main">
          <a:off x="3455581" y="4391247"/>
          <a:ext cx="457200" cy="276446"/>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a:t>
          </a:r>
        </a:p>
      </cdr:txBody>
    </cdr:sp>
  </cdr:relSizeAnchor>
  <cdr:relSizeAnchor xmlns:cdr="http://schemas.openxmlformats.org/drawingml/2006/chartDrawing">
    <cdr:from>
      <cdr:x>0.73703</cdr:x>
      <cdr:y>0.54188</cdr:y>
    </cdr:from>
    <cdr:to>
      <cdr:x>0.8229</cdr:x>
      <cdr:y>0.57883</cdr:y>
    </cdr:to>
    <cdr:sp macro="" textlink="">
      <cdr:nvSpPr>
        <cdr:cNvPr id="44" name="Прямоугольник 43"/>
        <cdr:cNvSpPr/>
      </cdr:nvSpPr>
      <cdr:spPr>
        <a:xfrm xmlns:a="http://schemas.openxmlformats.org/drawingml/2006/main">
          <a:off x="4380614" y="4678326"/>
          <a:ext cx="510363" cy="318977"/>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-21</a:t>
          </a:r>
        </a:p>
      </cdr:txBody>
    </cdr:sp>
  </cdr:relSizeAnchor>
  <cdr:relSizeAnchor xmlns:cdr="http://schemas.openxmlformats.org/drawingml/2006/chartDrawing">
    <cdr:from>
      <cdr:x>0.64937</cdr:x>
      <cdr:y>0.58252</cdr:y>
    </cdr:from>
    <cdr:to>
      <cdr:x>0.73524</cdr:x>
      <cdr:y>0.61824</cdr:y>
    </cdr:to>
    <cdr:sp macro="" textlink="">
      <cdr:nvSpPr>
        <cdr:cNvPr id="45" name="Прямоугольник 44"/>
        <cdr:cNvSpPr/>
      </cdr:nvSpPr>
      <cdr:spPr>
        <a:xfrm xmlns:a="http://schemas.openxmlformats.org/drawingml/2006/main">
          <a:off x="3859619" y="5029200"/>
          <a:ext cx="510362" cy="308344"/>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7</a:t>
          </a:r>
        </a:p>
      </cdr:txBody>
    </cdr:sp>
  </cdr:relSizeAnchor>
  <cdr:relSizeAnchor xmlns:cdr="http://schemas.openxmlformats.org/drawingml/2006/chartDrawing">
    <cdr:from>
      <cdr:x>0.64758</cdr:x>
      <cdr:y>0.61824</cdr:y>
    </cdr:from>
    <cdr:to>
      <cdr:x>0.76923</cdr:x>
      <cdr:y>0.65642</cdr:y>
    </cdr:to>
    <cdr:sp macro="" textlink="">
      <cdr:nvSpPr>
        <cdr:cNvPr id="46" name="Прямоугольник 45"/>
        <cdr:cNvSpPr/>
      </cdr:nvSpPr>
      <cdr:spPr>
        <a:xfrm xmlns:a="http://schemas.openxmlformats.org/drawingml/2006/main">
          <a:off x="3848986" y="5337544"/>
          <a:ext cx="723014" cy="329610"/>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26</a:t>
          </a:r>
        </a:p>
      </cdr:txBody>
    </cdr:sp>
  </cdr:relSizeAnchor>
  <cdr:relSizeAnchor xmlns:cdr="http://schemas.openxmlformats.org/drawingml/2006/chartDrawing">
    <cdr:from>
      <cdr:x>0.58855</cdr:x>
      <cdr:y>0.65552</cdr:y>
    </cdr:from>
    <cdr:to>
      <cdr:x>0.69588</cdr:x>
      <cdr:y>0.69247</cdr:y>
    </cdr:to>
    <cdr:sp macro="" textlink="">
      <cdr:nvSpPr>
        <cdr:cNvPr id="47" name="Прямоугольник 46"/>
        <cdr:cNvSpPr/>
      </cdr:nvSpPr>
      <cdr:spPr>
        <a:xfrm xmlns:a="http://schemas.openxmlformats.org/drawingml/2006/main">
          <a:off x="3498125" y="5296875"/>
          <a:ext cx="637927" cy="298570"/>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-9</a:t>
          </a:r>
        </a:p>
      </cdr:txBody>
    </cdr:sp>
  </cdr:relSizeAnchor>
  <cdr:relSizeAnchor xmlns:cdr="http://schemas.openxmlformats.org/drawingml/2006/chartDrawing">
    <cdr:from>
      <cdr:x>0.54562</cdr:x>
      <cdr:y>0.68844</cdr:y>
    </cdr:from>
    <cdr:to>
      <cdr:x>0.63327</cdr:x>
      <cdr:y>0.72046</cdr:y>
    </cdr:to>
    <cdr:sp macro="" textlink="">
      <cdr:nvSpPr>
        <cdr:cNvPr id="48" name="Прямоугольник 47"/>
        <cdr:cNvSpPr/>
      </cdr:nvSpPr>
      <cdr:spPr>
        <a:xfrm xmlns:a="http://schemas.openxmlformats.org/drawingml/2006/main">
          <a:off x="3242930" y="5943600"/>
          <a:ext cx="520996" cy="276447"/>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-4</a:t>
          </a:r>
        </a:p>
      </cdr:txBody>
    </cdr:sp>
  </cdr:relSizeAnchor>
  <cdr:relSizeAnchor xmlns:cdr="http://schemas.openxmlformats.org/drawingml/2006/chartDrawing">
    <cdr:from>
      <cdr:x>0.73166</cdr:x>
      <cdr:y>0.72415</cdr:y>
    </cdr:from>
    <cdr:to>
      <cdr:x>0.82648</cdr:x>
      <cdr:y>0.75987</cdr:y>
    </cdr:to>
    <cdr:sp macro="" textlink="">
      <cdr:nvSpPr>
        <cdr:cNvPr id="49" name="Прямоугольник 48"/>
        <cdr:cNvSpPr/>
      </cdr:nvSpPr>
      <cdr:spPr>
        <a:xfrm xmlns:a="http://schemas.openxmlformats.org/drawingml/2006/main">
          <a:off x="4348716" y="6251944"/>
          <a:ext cx="563526" cy="308345"/>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-59</a:t>
          </a:r>
        </a:p>
      </cdr:txBody>
    </cdr:sp>
  </cdr:relSizeAnchor>
  <cdr:relSizeAnchor xmlns:cdr="http://schemas.openxmlformats.org/drawingml/2006/chartDrawing">
    <cdr:from>
      <cdr:x>0.56708</cdr:x>
      <cdr:y>0.76582</cdr:y>
    </cdr:from>
    <cdr:to>
      <cdr:x>0.66547</cdr:x>
      <cdr:y>0.79681</cdr:y>
    </cdr:to>
    <cdr:sp macro="" textlink="">
      <cdr:nvSpPr>
        <cdr:cNvPr id="50" name="Прямоугольник 49"/>
        <cdr:cNvSpPr/>
      </cdr:nvSpPr>
      <cdr:spPr>
        <a:xfrm xmlns:a="http://schemas.openxmlformats.org/drawingml/2006/main">
          <a:off x="3370497" y="6188149"/>
          <a:ext cx="584790" cy="250375"/>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3</a:t>
          </a:r>
        </a:p>
      </cdr:txBody>
    </cdr:sp>
  </cdr:relSizeAnchor>
  <cdr:relSizeAnchor xmlns:cdr="http://schemas.openxmlformats.org/drawingml/2006/chartDrawing">
    <cdr:from>
      <cdr:x>0.63327</cdr:x>
      <cdr:y>0.79929</cdr:y>
    </cdr:from>
    <cdr:to>
      <cdr:x>0.7263</cdr:x>
      <cdr:y>0.83399</cdr:y>
    </cdr:to>
    <cdr:sp macro="" textlink="">
      <cdr:nvSpPr>
        <cdr:cNvPr id="2" name="Прямоугольник 1"/>
        <cdr:cNvSpPr/>
      </cdr:nvSpPr>
      <cdr:spPr>
        <a:xfrm xmlns:a="http://schemas.openxmlformats.org/drawingml/2006/main">
          <a:off x="3763926" y="6858000"/>
          <a:ext cx="552893" cy="297712"/>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12</a:t>
          </a:r>
        </a:p>
      </cdr:txBody>
    </cdr:sp>
  </cdr:relSizeAnchor>
  <cdr:relSizeAnchor xmlns:cdr="http://schemas.openxmlformats.org/drawingml/2006/chartDrawing">
    <cdr:from>
      <cdr:x>0.63327</cdr:x>
      <cdr:y>0.8377</cdr:y>
    </cdr:from>
    <cdr:to>
      <cdr:x>0.72987</cdr:x>
      <cdr:y>0.86992</cdr:y>
    </cdr:to>
    <cdr:sp macro="" textlink="">
      <cdr:nvSpPr>
        <cdr:cNvPr id="3" name="Прямоугольник 2"/>
        <cdr:cNvSpPr/>
      </cdr:nvSpPr>
      <cdr:spPr>
        <a:xfrm xmlns:a="http://schemas.openxmlformats.org/drawingml/2006/main">
          <a:off x="3763926" y="7187609"/>
          <a:ext cx="574158" cy="276447"/>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i="0">
              <a:latin typeface="Times New Roman" pitchFamily="18" charset="0"/>
              <a:cs typeface="Times New Roman" pitchFamily="18" charset="0"/>
            </a:rPr>
            <a:t>28</a:t>
          </a:r>
        </a:p>
      </cdr:txBody>
    </cdr:sp>
  </cdr:relSizeAnchor>
  <cdr:relSizeAnchor xmlns:cdr="http://schemas.openxmlformats.org/drawingml/2006/chartDrawing">
    <cdr:from>
      <cdr:x>0.59213</cdr:x>
      <cdr:y>0.87364</cdr:y>
    </cdr:from>
    <cdr:to>
      <cdr:x>0.68157</cdr:x>
      <cdr:y>0.90834</cdr:y>
    </cdr:to>
    <cdr:sp macro="" textlink="">
      <cdr:nvSpPr>
        <cdr:cNvPr id="5" name="Прямоугольник 4"/>
        <cdr:cNvSpPr/>
      </cdr:nvSpPr>
      <cdr:spPr>
        <a:xfrm xmlns:a="http://schemas.openxmlformats.org/drawingml/2006/main">
          <a:off x="3519377" y="7495954"/>
          <a:ext cx="531628" cy="297711"/>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30</a:t>
          </a:r>
        </a:p>
      </cdr:txBody>
    </cdr:sp>
  </cdr:relSizeAnchor>
  <cdr:relSizeAnchor xmlns:cdr="http://schemas.openxmlformats.org/drawingml/2006/chartDrawing">
    <cdr:from>
      <cdr:x>0.56708</cdr:x>
      <cdr:y>0.91244</cdr:y>
    </cdr:from>
    <cdr:to>
      <cdr:x>0.65832</cdr:x>
      <cdr:y>0.94838</cdr:y>
    </cdr:to>
    <cdr:sp macro="" textlink="">
      <cdr:nvSpPr>
        <cdr:cNvPr id="6" name="Прямоугольник 5"/>
        <cdr:cNvSpPr/>
      </cdr:nvSpPr>
      <cdr:spPr>
        <a:xfrm xmlns:a="http://schemas.openxmlformats.org/drawingml/2006/main">
          <a:off x="3370497" y="7372850"/>
          <a:ext cx="542294" cy="29040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14</a:t>
          </a:r>
        </a:p>
      </cdr:txBody>
    </cdr:sp>
  </cdr:relSizeAnchor>
  <cdr:relSizeAnchor xmlns:cdr="http://schemas.openxmlformats.org/drawingml/2006/chartDrawing">
    <cdr:from>
      <cdr:x>0.74597</cdr:x>
      <cdr:y>0.94428</cdr:y>
    </cdr:from>
    <cdr:to>
      <cdr:x>0.81932</cdr:x>
      <cdr:y>0.97526</cdr:y>
    </cdr:to>
    <cdr:sp macro="" textlink="">
      <cdr:nvSpPr>
        <cdr:cNvPr id="7" name="Прямоугольник 6"/>
        <cdr:cNvSpPr/>
      </cdr:nvSpPr>
      <cdr:spPr>
        <a:xfrm xmlns:a="http://schemas.openxmlformats.org/drawingml/2006/main">
          <a:off x="4433777" y="8102009"/>
          <a:ext cx="435935" cy="265814"/>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3</a:t>
          </a:r>
        </a:p>
      </cdr:txBody>
    </cdr:sp>
  </cdr:relSizeAnchor>
</c:userShapes>
</file>

<file path=word/drawings/drawing2.xml><?xml version="1.0" encoding="utf-8"?>
<c:userShapes xmlns:c="http://schemas.openxmlformats.org/drawingml/2006/chart">
  <cdr:relSizeAnchor xmlns:cdr="http://schemas.openxmlformats.org/drawingml/2006/chartDrawing">
    <cdr:from>
      <cdr:x>0.63864</cdr:x>
      <cdr:y>0.05369</cdr:y>
    </cdr:from>
    <cdr:to>
      <cdr:x>0.71556</cdr:x>
      <cdr:y>0.08591</cdr:y>
    </cdr:to>
    <cdr:sp macro="" textlink="">
      <cdr:nvSpPr>
        <cdr:cNvPr id="4" name="Прямоугольник 3"/>
        <cdr:cNvSpPr/>
      </cdr:nvSpPr>
      <cdr:spPr>
        <a:xfrm xmlns:a="http://schemas.openxmlformats.org/drawingml/2006/main">
          <a:off x="3795823" y="425303"/>
          <a:ext cx="457200" cy="255181"/>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2,0</a:t>
          </a:r>
        </a:p>
      </cdr:txBody>
    </cdr:sp>
  </cdr:relSizeAnchor>
  <cdr:relSizeAnchor xmlns:cdr="http://schemas.openxmlformats.org/drawingml/2006/chartDrawing">
    <cdr:from>
      <cdr:x>0.67263</cdr:x>
      <cdr:y>0.09128</cdr:y>
    </cdr:from>
    <cdr:to>
      <cdr:x>0.76386</cdr:x>
      <cdr:y>0.12618</cdr:y>
    </cdr:to>
    <cdr:sp macro="" textlink="">
      <cdr:nvSpPr>
        <cdr:cNvPr id="5" name="Прямоугольник 4"/>
        <cdr:cNvSpPr/>
      </cdr:nvSpPr>
      <cdr:spPr>
        <a:xfrm xmlns:a="http://schemas.openxmlformats.org/drawingml/2006/main">
          <a:off x="3997842" y="723014"/>
          <a:ext cx="542260" cy="276447"/>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0,3</a:t>
          </a:r>
        </a:p>
      </cdr:txBody>
    </cdr:sp>
  </cdr:relSizeAnchor>
  <cdr:relSizeAnchor xmlns:cdr="http://schemas.openxmlformats.org/drawingml/2006/chartDrawing">
    <cdr:from>
      <cdr:x>0.72809</cdr:x>
      <cdr:y>0.12752</cdr:y>
    </cdr:from>
    <cdr:to>
      <cdr:x>0.82111</cdr:x>
      <cdr:y>0.16108</cdr:y>
    </cdr:to>
    <cdr:sp macro="" textlink="">
      <cdr:nvSpPr>
        <cdr:cNvPr id="6" name="Прямоугольник 5"/>
        <cdr:cNvSpPr/>
      </cdr:nvSpPr>
      <cdr:spPr>
        <a:xfrm xmlns:a="http://schemas.openxmlformats.org/drawingml/2006/main">
          <a:off x="4327451" y="1010093"/>
          <a:ext cx="552893" cy="265814"/>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1,3</a:t>
          </a:r>
        </a:p>
      </cdr:txBody>
    </cdr:sp>
  </cdr:relSizeAnchor>
  <cdr:relSizeAnchor xmlns:cdr="http://schemas.openxmlformats.org/drawingml/2006/chartDrawing">
    <cdr:from>
      <cdr:x>0.678</cdr:x>
      <cdr:y>0.16376</cdr:y>
    </cdr:from>
    <cdr:to>
      <cdr:x>0.77639</cdr:x>
      <cdr:y>0.20001</cdr:y>
    </cdr:to>
    <cdr:sp macro="" textlink="">
      <cdr:nvSpPr>
        <cdr:cNvPr id="7" name="Прямоугольник 6"/>
        <cdr:cNvSpPr/>
      </cdr:nvSpPr>
      <cdr:spPr>
        <a:xfrm xmlns:a="http://schemas.openxmlformats.org/drawingml/2006/main">
          <a:off x="4029739" y="1297172"/>
          <a:ext cx="584791" cy="28707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-5,1</a:t>
          </a:r>
        </a:p>
      </cdr:txBody>
    </cdr:sp>
  </cdr:relSizeAnchor>
  <cdr:relSizeAnchor xmlns:cdr="http://schemas.openxmlformats.org/drawingml/2006/chartDrawing">
    <cdr:from>
      <cdr:x>0.64222</cdr:x>
      <cdr:y>0.20269</cdr:y>
    </cdr:from>
    <cdr:to>
      <cdr:x>0.73345</cdr:x>
      <cdr:y>0.23759</cdr:y>
    </cdr:to>
    <cdr:sp macro="" textlink="">
      <cdr:nvSpPr>
        <cdr:cNvPr id="8" name="Прямоугольник 7"/>
        <cdr:cNvSpPr/>
      </cdr:nvSpPr>
      <cdr:spPr>
        <a:xfrm xmlns:a="http://schemas.openxmlformats.org/drawingml/2006/main">
          <a:off x="3817088" y="1605517"/>
          <a:ext cx="542261" cy="276446"/>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-2,5</a:t>
          </a:r>
        </a:p>
      </cdr:txBody>
    </cdr:sp>
  </cdr:relSizeAnchor>
  <cdr:relSizeAnchor xmlns:cdr="http://schemas.openxmlformats.org/drawingml/2006/chartDrawing">
    <cdr:from>
      <cdr:x>0.67263</cdr:x>
      <cdr:y>0.23759</cdr:y>
    </cdr:from>
    <cdr:to>
      <cdr:x>0.76744</cdr:x>
      <cdr:y>0.27383</cdr:y>
    </cdr:to>
    <cdr:sp macro="" textlink="">
      <cdr:nvSpPr>
        <cdr:cNvPr id="9" name="Прямоугольник 8"/>
        <cdr:cNvSpPr/>
      </cdr:nvSpPr>
      <cdr:spPr>
        <a:xfrm xmlns:a="http://schemas.openxmlformats.org/drawingml/2006/main">
          <a:off x="3997842" y="1881963"/>
          <a:ext cx="563525" cy="28707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2,9</a:t>
          </a:r>
        </a:p>
      </cdr:txBody>
    </cdr:sp>
  </cdr:relSizeAnchor>
  <cdr:relSizeAnchor xmlns:cdr="http://schemas.openxmlformats.org/drawingml/2006/chartDrawing">
    <cdr:from>
      <cdr:x>0.75671</cdr:x>
      <cdr:y>0.27652</cdr:y>
    </cdr:from>
    <cdr:to>
      <cdr:x>0.84615</cdr:x>
      <cdr:y>0.31276</cdr:y>
    </cdr:to>
    <cdr:sp macro="" textlink="">
      <cdr:nvSpPr>
        <cdr:cNvPr id="10" name="Прямоугольник 9"/>
        <cdr:cNvSpPr/>
      </cdr:nvSpPr>
      <cdr:spPr>
        <a:xfrm xmlns:a="http://schemas.openxmlformats.org/drawingml/2006/main">
          <a:off x="4497572" y="2190307"/>
          <a:ext cx="531628" cy="28707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2,8</a:t>
          </a:r>
        </a:p>
      </cdr:txBody>
    </cdr:sp>
  </cdr:relSizeAnchor>
  <cdr:relSizeAnchor xmlns:cdr="http://schemas.openxmlformats.org/drawingml/2006/chartDrawing">
    <cdr:from>
      <cdr:x>0.82826</cdr:x>
      <cdr:y>0.31679</cdr:y>
    </cdr:from>
    <cdr:to>
      <cdr:x>0.90877</cdr:x>
      <cdr:y>0.35169</cdr:y>
    </cdr:to>
    <cdr:sp macro="" textlink="">
      <cdr:nvSpPr>
        <cdr:cNvPr id="11" name="Прямоугольник 10"/>
        <cdr:cNvSpPr/>
      </cdr:nvSpPr>
      <cdr:spPr>
        <a:xfrm xmlns:a="http://schemas.openxmlformats.org/drawingml/2006/main">
          <a:off x="4922874" y="2509284"/>
          <a:ext cx="478465" cy="276446"/>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1,1</a:t>
          </a:r>
        </a:p>
      </cdr:txBody>
    </cdr:sp>
  </cdr:relSizeAnchor>
  <cdr:relSizeAnchor xmlns:cdr="http://schemas.openxmlformats.org/drawingml/2006/chartDrawing">
    <cdr:from>
      <cdr:x>0.77996</cdr:x>
      <cdr:y>0.35437</cdr:y>
    </cdr:from>
    <cdr:to>
      <cdr:x>0.86583</cdr:x>
      <cdr:y>0.38793</cdr:y>
    </cdr:to>
    <cdr:sp macro="" textlink="">
      <cdr:nvSpPr>
        <cdr:cNvPr id="12" name="Прямоугольник 11"/>
        <cdr:cNvSpPr/>
      </cdr:nvSpPr>
      <cdr:spPr>
        <a:xfrm xmlns:a="http://schemas.openxmlformats.org/drawingml/2006/main">
          <a:off x="4635795" y="2806996"/>
          <a:ext cx="510363" cy="265814"/>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1,5</a:t>
          </a:r>
        </a:p>
      </cdr:txBody>
    </cdr:sp>
  </cdr:relSizeAnchor>
  <cdr:relSizeAnchor xmlns:cdr="http://schemas.openxmlformats.org/drawingml/2006/chartDrawing">
    <cdr:from>
      <cdr:x>0.7263</cdr:x>
      <cdr:y>0.39062</cdr:y>
    </cdr:from>
    <cdr:to>
      <cdr:x>0.81753</cdr:x>
      <cdr:y>0.42552</cdr:y>
    </cdr:to>
    <cdr:sp macro="" textlink="">
      <cdr:nvSpPr>
        <cdr:cNvPr id="13" name="Прямоугольник 12"/>
        <cdr:cNvSpPr/>
      </cdr:nvSpPr>
      <cdr:spPr>
        <a:xfrm xmlns:a="http://schemas.openxmlformats.org/drawingml/2006/main">
          <a:off x="4316819" y="3094075"/>
          <a:ext cx="542260" cy="276446"/>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9,8</a:t>
          </a:r>
        </a:p>
      </cdr:txBody>
    </cdr:sp>
  </cdr:relSizeAnchor>
  <cdr:relSizeAnchor xmlns:cdr="http://schemas.openxmlformats.org/drawingml/2006/chartDrawing">
    <cdr:from>
      <cdr:x>0.71735</cdr:x>
      <cdr:y>0.42686</cdr:y>
    </cdr:from>
    <cdr:to>
      <cdr:x>0.81574</cdr:x>
      <cdr:y>0.4631</cdr:y>
    </cdr:to>
    <cdr:sp macro="" textlink="">
      <cdr:nvSpPr>
        <cdr:cNvPr id="14" name="Прямоугольник 13"/>
        <cdr:cNvSpPr/>
      </cdr:nvSpPr>
      <cdr:spPr>
        <a:xfrm xmlns:a="http://schemas.openxmlformats.org/drawingml/2006/main">
          <a:off x="4263656" y="3381154"/>
          <a:ext cx="584790" cy="28707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-6,9</a:t>
          </a:r>
        </a:p>
      </cdr:txBody>
    </cdr:sp>
  </cdr:relSizeAnchor>
  <cdr:relSizeAnchor xmlns:cdr="http://schemas.openxmlformats.org/drawingml/2006/chartDrawing">
    <cdr:from>
      <cdr:x>0.67621</cdr:x>
      <cdr:y>0.46579</cdr:y>
    </cdr:from>
    <cdr:to>
      <cdr:x>0.77639</cdr:x>
      <cdr:y>0.50203</cdr:y>
    </cdr:to>
    <cdr:sp macro="" textlink="">
      <cdr:nvSpPr>
        <cdr:cNvPr id="15" name="Прямоугольник 14"/>
        <cdr:cNvSpPr/>
      </cdr:nvSpPr>
      <cdr:spPr>
        <a:xfrm xmlns:a="http://schemas.openxmlformats.org/drawingml/2006/main">
          <a:off x="4019107" y="3689498"/>
          <a:ext cx="595423" cy="28707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-2,7</a:t>
          </a:r>
        </a:p>
      </cdr:txBody>
    </cdr:sp>
  </cdr:relSizeAnchor>
  <cdr:relSizeAnchor xmlns:cdr="http://schemas.openxmlformats.org/drawingml/2006/chartDrawing">
    <cdr:from>
      <cdr:x>0.63148</cdr:x>
      <cdr:y>0.50337</cdr:y>
    </cdr:from>
    <cdr:to>
      <cdr:x>0.72272</cdr:x>
      <cdr:y>0.53693</cdr:y>
    </cdr:to>
    <cdr:sp macro="" textlink="">
      <cdr:nvSpPr>
        <cdr:cNvPr id="16" name="Прямоугольник 15"/>
        <cdr:cNvSpPr/>
      </cdr:nvSpPr>
      <cdr:spPr>
        <a:xfrm xmlns:a="http://schemas.openxmlformats.org/drawingml/2006/main">
          <a:off x="3753293" y="3987210"/>
          <a:ext cx="542260" cy="265813"/>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0,5</a:t>
          </a:r>
        </a:p>
      </cdr:txBody>
    </cdr:sp>
  </cdr:relSizeAnchor>
  <cdr:relSizeAnchor xmlns:cdr="http://schemas.openxmlformats.org/drawingml/2006/chartDrawing">
    <cdr:from>
      <cdr:x>0.68336</cdr:x>
      <cdr:y>0.53693</cdr:y>
    </cdr:from>
    <cdr:to>
      <cdr:x>0.78175</cdr:x>
      <cdr:y>0.57317</cdr:y>
    </cdr:to>
    <cdr:sp macro="" textlink="">
      <cdr:nvSpPr>
        <cdr:cNvPr id="17" name="Прямоугольник 16"/>
        <cdr:cNvSpPr/>
      </cdr:nvSpPr>
      <cdr:spPr>
        <a:xfrm xmlns:a="http://schemas.openxmlformats.org/drawingml/2006/main">
          <a:off x="4061637" y="4253023"/>
          <a:ext cx="584791" cy="287080"/>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1,9</a:t>
          </a:r>
        </a:p>
      </cdr:txBody>
    </cdr:sp>
  </cdr:relSizeAnchor>
  <cdr:relSizeAnchor xmlns:cdr="http://schemas.openxmlformats.org/drawingml/2006/chartDrawing">
    <cdr:from>
      <cdr:x>0.65653</cdr:x>
      <cdr:y>0.57854</cdr:y>
    </cdr:from>
    <cdr:to>
      <cdr:x>0.7424</cdr:x>
      <cdr:y>0.61344</cdr:y>
    </cdr:to>
    <cdr:sp macro="" textlink="">
      <cdr:nvSpPr>
        <cdr:cNvPr id="18" name="Прямоугольник 17"/>
        <cdr:cNvSpPr/>
      </cdr:nvSpPr>
      <cdr:spPr>
        <a:xfrm xmlns:a="http://schemas.openxmlformats.org/drawingml/2006/main">
          <a:off x="3902149" y="4582633"/>
          <a:ext cx="510363" cy="276446"/>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1,0</a:t>
          </a:r>
        </a:p>
      </cdr:txBody>
    </cdr:sp>
  </cdr:relSizeAnchor>
  <cdr:relSizeAnchor xmlns:cdr="http://schemas.openxmlformats.org/drawingml/2006/chartDrawing">
    <cdr:from>
      <cdr:x>0.73703</cdr:x>
      <cdr:y>0.6121</cdr:y>
    </cdr:from>
    <cdr:to>
      <cdr:x>0.81753</cdr:x>
      <cdr:y>0.647</cdr:y>
    </cdr:to>
    <cdr:sp macro="" textlink="">
      <cdr:nvSpPr>
        <cdr:cNvPr id="19" name="Прямоугольник 18"/>
        <cdr:cNvSpPr/>
      </cdr:nvSpPr>
      <cdr:spPr>
        <a:xfrm xmlns:a="http://schemas.openxmlformats.org/drawingml/2006/main">
          <a:off x="4380614" y="4848447"/>
          <a:ext cx="478465" cy="276446"/>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0,1</a:t>
          </a:r>
        </a:p>
      </cdr:txBody>
    </cdr:sp>
  </cdr:relSizeAnchor>
  <cdr:relSizeAnchor xmlns:cdr="http://schemas.openxmlformats.org/drawingml/2006/chartDrawing">
    <cdr:from>
      <cdr:x>0.78533</cdr:x>
      <cdr:y>0.64834</cdr:y>
    </cdr:from>
    <cdr:to>
      <cdr:x>0.87299</cdr:x>
      <cdr:y>0.68459</cdr:y>
    </cdr:to>
    <cdr:sp macro="" textlink="">
      <cdr:nvSpPr>
        <cdr:cNvPr id="20" name="Прямоугольник 19"/>
        <cdr:cNvSpPr/>
      </cdr:nvSpPr>
      <cdr:spPr>
        <a:xfrm xmlns:a="http://schemas.openxmlformats.org/drawingml/2006/main">
          <a:off x="4667693" y="5135526"/>
          <a:ext cx="520995" cy="287079"/>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-1,0</a:t>
          </a:r>
        </a:p>
      </cdr:txBody>
    </cdr:sp>
  </cdr:relSizeAnchor>
  <cdr:relSizeAnchor xmlns:cdr="http://schemas.openxmlformats.org/drawingml/2006/chartDrawing">
    <cdr:from>
      <cdr:x>0.57961</cdr:x>
      <cdr:y>0.6913</cdr:y>
    </cdr:from>
    <cdr:to>
      <cdr:x>0.6619</cdr:x>
      <cdr:y>0.72486</cdr:y>
    </cdr:to>
    <cdr:sp macro="" textlink="">
      <cdr:nvSpPr>
        <cdr:cNvPr id="21" name="Прямоугольник 20"/>
        <cdr:cNvSpPr/>
      </cdr:nvSpPr>
      <cdr:spPr>
        <a:xfrm xmlns:a="http://schemas.openxmlformats.org/drawingml/2006/main">
          <a:off x="3444949" y="5475768"/>
          <a:ext cx="489097" cy="265814"/>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0,3</a:t>
          </a:r>
        </a:p>
      </cdr:txBody>
    </cdr:sp>
  </cdr:relSizeAnchor>
  <cdr:relSizeAnchor xmlns:cdr="http://schemas.openxmlformats.org/drawingml/2006/chartDrawing">
    <cdr:from>
      <cdr:x>0.70125</cdr:x>
      <cdr:y>0.72754</cdr:y>
    </cdr:from>
    <cdr:to>
      <cdr:x>0.8229</cdr:x>
      <cdr:y>0.7611</cdr:y>
    </cdr:to>
    <cdr:sp macro="" textlink="">
      <cdr:nvSpPr>
        <cdr:cNvPr id="22" name="Прямоугольник 21"/>
        <cdr:cNvSpPr/>
      </cdr:nvSpPr>
      <cdr:spPr>
        <a:xfrm xmlns:a="http://schemas.openxmlformats.org/drawingml/2006/main">
          <a:off x="4167964" y="5762847"/>
          <a:ext cx="723014" cy="265814"/>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solidFill>
                <a:sysClr val="windowText" lastClr="000000"/>
              </a:solidFill>
              <a:latin typeface="Times New Roman" pitchFamily="18" charset="0"/>
              <a:cs typeface="Times New Roman" pitchFamily="18" charset="0"/>
            </a:rPr>
            <a:t>-1,8</a:t>
          </a:r>
        </a:p>
      </cdr:txBody>
    </cdr:sp>
  </cdr:relSizeAnchor>
  <cdr:relSizeAnchor xmlns:cdr="http://schemas.openxmlformats.org/drawingml/2006/chartDrawing">
    <cdr:from>
      <cdr:x>0.65832</cdr:x>
      <cdr:y>0.76378</cdr:y>
    </cdr:from>
    <cdr:to>
      <cdr:x>0.76029</cdr:x>
      <cdr:y>0.80137</cdr:y>
    </cdr:to>
    <cdr:sp macro="" textlink="">
      <cdr:nvSpPr>
        <cdr:cNvPr id="23" name="Прямоугольник 22"/>
        <cdr:cNvSpPr/>
      </cdr:nvSpPr>
      <cdr:spPr>
        <a:xfrm xmlns:a="http://schemas.openxmlformats.org/drawingml/2006/main">
          <a:off x="3912781" y="6049926"/>
          <a:ext cx="606056" cy="297711"/>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-1,6</a:t>
          </a:r>
        </a:p>
      </cdr:txBody>
    </cdr:sp>
  </cdr:relSizeAnchor>
  <cdr:relSizeAnchor xmlns:cdr="http://schemas.openxmlformats.org/drawingml/2006/chartDrawing">
    <cdr:from>
      <cdr:x>0.67442</cdr:x>
      <cdr:y>0.80405</cdr:y>
    </cdr:from>
    <cdr:to>
      <cdr:x>0.77281</cdr:x>
      <cdr:y>0.83895</cdr:y>
    </cdr:to>
    <cdr:sp macro="" textlink="">
      <cdr:nvSpPr>
        <cdr:cNvPr id="24" name="Прямоугольник 23"/>
        <cdr:cNvSpPr/>
      </cdr:nvSpPr>
      <cdr:spPr>
        <a:xfrm xmlns:a="http://schemas.openxmlformats.org/drawingml/2006/main">
          <a:off x="4008474" y="6368903"/>
          <a:ext cx="584791" cy="276446"/>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2,0</a:t>
          </a:r>
        </a:p>
      </cdr:txBody>
    </cdr:sp>
  </cdr:relSizeAnchor>
  <cdr:relSizeAnchor xmlns:cdr="http://schemas.openxmlformats.org/drawingml/2006/chartDrawing">
    <cdr:from>
      <cdr:x>0.73345</cdr:x>
      <cdr:y>0.83895</cdr:y>
    </cdr:from>
    <cdr:to>
      <cdr:x>0.82826</cdr:x>
      <cdr:y>0.87251</cdr:y>
    </cdr:to>
    <cdr:sp macro="" textlink="">
      <cdr:nvSpPr>
        <cdr:cNvPr id="25" name="Прямоугольник 24"/>
        <cdr:cNvSpPr/>
      </cdr:nvSpPr>
      <cdr:spPr>
        <a:xfrm xmlns:a="http://schemas.openxmlformats.org/drawingml/2006/main">
          <a:off x="4359349" y="6645349"/>
          <a:ext cx="563525" cy="265814"/>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-1,0</a:t>
          </a:r>
        </a:p>
      </cdr:txBody>
    </cdr:sp>
  </cdr:relSizeAnchor>
  <cdr:relSizeAnchor xmlns:cdr="http://schemas.openxmlformats.org/drawingml/2006/chartDrawing">
    <cdr:from>
      <cdr:x>0.7907</cdr:x>
      <cdr:y>0.87922</cdr:y>
    </cdr:from>
    <cdr:to>
      <cdr:x>0.88551</cdr:x>
      <cdr:y>0.91681</cdr:y>
    </cdr:to>
    <cdr:sp macro="" textlink="">
      <cdr:nvSpPr>
        <cdr:cNvPr id="26" name="Прямоугольник 25"/>
        <cdr:cNvSpPr/>
      </cdr:nvSpPr>
      <cdr:spPr>
        <a:xfrm xmlns:a="http://schemas.openxmlformats.org/drawingml/2006/main">
          <a:off x="4699591" y="6964326"/>
          <a:ext cx="563525" cy="297711"/>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-1,7</a:t>
          </a:r>
        </a:p>
      </cdr:txBody>
    </cdr:sp>
  </cdr:relSizeAnchor>
  <cdr:relSizeAnchor xmlns:cdr="http://schemas.openxmlformats.org/drawingml/2006/chartDrawing">
    <cdr:from>
      <cdr:x>0.6619</cdr:x>
      <cdr:y>0.91547</cdr:y>
    </cdr:from>
    <cdr:to>
      <cdr:x>0.75134</cdr:x>
      <cdr:y>0.94768</cdr:y>
    </cdr:to>
    <cdr:sp macro="" textlink="">
      <cdr:nvSpPr>
        <cdr:cNvPr id="27" name="Прямоугольник 26"/>
        <cdr:cNvSpPr/>
      </cdr:nvSpPr>
      <cdr:spPr>
        <a:xfrm xmlns:a="http://schemas.openxmlformats.org/drawingml/2006/main">
          <a:off x="3934046" y="7251405"/>
          <a:ext cx="531628" cy="255181"/>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0,3</a:t>
          </a:r>
        </a:p>
      </cdr:txBody>
    </cdr:sp>
  </cdr:relSizeAnchor>
  <cdr:relSizeAnchor xmlns:cdr="http://schemas.openxmlformats.org/drawingml/2006/chartDrawing">
    <cdr:from>
      <cdr:x>0.87835</cdr:x>
      <cdr:y>0.94903</cdr:y>
    </cdr:from>
    <cdr:to>
      <cdr:x>0.96064</cdr:x>
      <cdr:y>0.98393</cdr:y>
    </cdr:to>
    <cdr:sp macro="" textlink="">
      <cdr:nvSpPr>
        <cdr:cNvPr id="28" name="Прямоугольник 27"/>
        <cdr:cNvSpPr/>
      </cdr:nvSpPr>
      <cdr:spPr>
        <a:xfrm xmlns:a="http://schemas.openxmlformats.org/drawingml/2006/main">
          <a:off x="5220586" y="7517219"/>
          <a:ext cx="489098" cy="276446"/>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1600" b="1">
              <a:latin typeface="Times New Roman" pitchFamily="18" charset="0"/>
              <a:cs typeface="Times New Roman" pitchFamily="18" charset="0"/>
            </a:rPr>
            <a:t>5,8</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Pages>
  <Words>14404</Words>
  <Characters>8211</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Департаменти (управління) освіти і науки обласних та Київської міської державних адміністрацій</vt:lpstr>
    </vt:vector>
  </TitlesOfParts>
  <Company>SPecialiST RePack</Company>
  <LinksUpToDate>false</LinksUpToDate>
  <CharactersWithSpaces>22570</CharactersWithSpaces>
  <SharedDoc>false</SharedDoc>
  <HLinks>
    <vt:vector size="30" baseType="variant">
      <vt:variant>
        <vt:i4>5570633</vt:i4>
      </vt:variant>
      <vt:variant>
        <vt:i4>18</vt:i4>
      </vt:variant>
      <vt:variant>
        <vt:i4>0</vt:i4>
      </vt:variant>
      <vt:variant>
        <vt:i4>5</vt:i4>
      </vt:variant>
      <vt:variant>
        <vt:lpwstr>http://old.mon.gov.ua/ua/activity/education/59/196/korinf19/</vt:lpwstr>
      </vt:variant>
      <vt:variant>
        <vt:lpwstr/>
      </vt:variant>
      <vt:variant>
        <vt:i4>6488113</vt:i4>
      </vt:variant>
      <vt:variant>
        <vt:i4>15</vt:i4>
      </vt:variant>
      <vt:variant>
        <vt:i4>0</vt:i4>
      </vt:variant>
      <vt:variant>
        <vt:i4>5</vt:i4>
      </vt:variant>
      <vt:variant>
        <vt:lpwstr>http://www.mon.gov.ua/</vt:lpwstr>
      </vt:variant>
      <vt:variant>
        <vt:lpwstr/>
      </vt:variant>
      <vt:variant>
        <vt:i4>1507416</vt:i4>
      </vt:variant>
      <vt:variant>
        <vt:i4>9</vt:i4>
      </vt:variant>
      <vt:variant>
        <vt:i4>0</vt:i4>
      </vt:variant>
      <vt:variant>
        <vt:i4>5</vt:i4>
      </vt:variant>
      <vt:variant>
        <vt:lpwstr>http://www.psyua.com.ua/</vt:lpwstr>
      </vt:variant>
      <vt:variant>
        <vt:lpwstr/>
      </vt:variant>
      <vt:variant>
        <vt:i4>5570633</vt:i4>
      </vt:variant>
      <vt:variant>
        <vt:i4>6</vt:i4>
      </vt:variant>
      <vt:variant>
        <vt:i4>0</vt:i4>
      </vt:variant>
      <vt:variant>
        <vt:i4>5</vt:i4>
      </vt:variant>
      <vt:variant>
        <vt:lpwstr>http://old.mon.gov.ua/ua/activity/education/59/196/korinf19/</vt:lpwstr>
      </vt:variant>
      <vt:variant>
        <vt:lpwstr/>
      </vt:variant>
      <vt:variant>
        <vt:i4>1114155</vt:i4>
      </vt:variant>
      <vt:variant>
        <vt:i4>3</vt:i4>
      </vt:variant>
      <vt:variant>
        <vt:i4>0</vt:i4>
      </vt:variant>
      <vt:variant>
        <vt:i4>5</vt:i4>
      </vt:variant>
      <vt:variant>
        <vt:lpwstr>mailto:vvv@minosvit.niiit.kiev.ua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Департаменти (управління) освіти і науки обласних та Київської міської державних адміністрацій</dc:title>
  <dc:creator>user</dc:creator>
  <cp:lastModifiedBy>Admin</cp:lastModifiedBy>
  <cp:revision>2</cp:revision>
  <cp:lastPrinted>2015-07-23T07:45:00Z</cp:lastPrinted>
  <dcterms:created xsi:type="dcterms:W3CDTF">2015-08-10T09:26:00Z</dcterms:created>
  <dcterms:modified xsi:type="dcterms:W3CDTF">2015-08-10T09:26:00Z</dcterms:modified>
</cp:coreProperties>
</file>